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Italiana Especial 2</w:t>
      </w:r>
    </w:p>
    <w:p>
      <w:pPr>
        <w:jc w:val="start"/>
      </w:pPr>
      <w:r>
        <w:rPr>
          <w:rFonts w:ascii="Arial" w:hAnsi="Arial" w:eastAsia="Arial" w:cs="Arial"/>
          <w:sz w:val="22.5"/>
          <w:szCs w:val="22.5"/>
          <w:b w:val="1"/>
          <w:bCs w:val="1"/>
        </w:rPr>
        <w:t xml:space="preserve">MT-12495  </w:t>
      </w:r>
      <w:r>
        <w:rPr>
          <w:rFonts w:ascii="Arial" w:hAnsi="Arial" w:eastAsia="Arial" w:cs="Arial"/>
          <w:sz w:val="22.5"/>
          <w:szCs w:val="22.5"/>
        </w:rPr>
        <w:t xml:space="preserve">- Web: </w:t>
      </w:r>
      <w:hyperlink r:id="rId7" w:history="1">
        <w:r>
          <w:rPr>
            <w:color w:val="blue"/>
          </w:rPr>
          <w:t xml:space="preserve">https://viaje.mt/b2V89</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1"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19,  21,  26Febrero:  02,  09,  23Marzo:  02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Florencia, Venecia, Bolonia.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MEXICO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Roma.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Roma,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de Roma, conocida también como La Ciudad Eterna.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FLORENCIA-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Venecia. Están famosa como bella, no necesita presentación especial. Al llegar hacemos una visita panorámica para dejarnos maravillar por la ciudad de las 118 islas y sus más de 400 puentes, cuyas características la convierten en única y exclusiva catalogada como patrimonio de la humanidad por la UNESCO, pasaremos por el Puente de los Suspiros y la Plaza de San Marco, con su incomparable escenario donde destaca la Basílica, joya de la arquitectura.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VENECIA- BOLONIA-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Bolonia. La antigua ciudad universitaria está conocida también por sus emblemáticos dos torres inclinados marcando el punto de salida para las cinco puertas de la fortificación medieval. Durante nuestro recorrido por la ciudad veremos también la enorme Basílica de San Petronio en la Plaza Mayor, la Fontana di Neptuno del siglo 16 y por supuesto los famosos pórticos incluidos en la Lista de la UNESCO del Patrimonio de la Humanidad. Después del recorrido seguiremos a la ciudad de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ROMA-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internacional de Roma, tomar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19, 21, 26  Febrero: 2, 9, 23</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Marzo: 2</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Raffaello B</w:t>
            </w:r>
            <w:r>
              <w:rPr>
                <w:rFonts w:ascii="Arial" w:hAnsi="Arial" w:eastAsia="Arial" w:cs="Arial"/>
                <w:color w:val="000000"/>
                <w:sz w:val="18"/>
                <w:szCs w:val="18"/>
              </w:rPr>
              <w:t xml:space="preserve">B Firenze Novoli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Smart Hotel Holiday, Campanilevenice Mestre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bl>
    <w:p>
      <w:pPr>
        <w:jc w:val="start"/>
      </w:pPr>
      <w:r>
        <w:rPr>
          <w:rFonts w:ascii="Arial" w:hAnsi="Arial" w:eastAsia="Arial" w:cs="Arial"/>
          <w:sz w:val="22.5"/>
          <w:szCs w:val="22.5"/>
          <w:b w:val="1"/>
          <w:bCs w:val="1"/>
        </w:rPr>
        <w:t xml:space="preserve">Precios vigentes hasta el 31/03/2026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MEXICO-ROMA-MEXICO VOLANDO EN CLASE TURISTA </w:t>
      </w:r>
    </w:p>
    <w:p>
      <w:pPr>
        <w:jc w:val="start"/>
      </w:pPr>
      <w:r>
        <w:rPr>
          <w:rFonts w:ascii="Arial" w:hAnsi="Arial" w:eastAsia="Arial" w:cs="Arial"/>
          <w:sz w:val="18"/>
          <w:szCs w:val="18"/>
        </w:rPr>
        <w:t xml:space="preserve">  ● 08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9.199999999999999289457264239899814128875732421875"/>
          <w:szCs w:val="19.199999999999999289457264239899814128875732421875"/>
        </w:rPr>
        <w:t xml:space="preserve">Itinerario sujeto a cambio, de acuerdo a su fecha de salida.</w:t>
      </w:r>
    </w:p>
    <w:p>
      <w:pPr>
        <w:jc w:val="start"/>
      </w:pPr>
      <w:r>
        <w:rPr>
          <w:rFonts w:ascii="Arial" w:hAnsi="Arial" w:eastAsia="Arial" w:cs="Arial"/>
          <w:sz w:val="19.199999999999999289457264239899814128875732421875"/>
          <w:szCs w:val="19.199999999999999289457264239899814128875732421875"/>
        </w:rPr>
        <w:t xml:space="preserve">Este paquete esta basado en hoteles turista 3*, si esta interesado en una mejor Categoría, favor de consultar nuestra sección de programas premium o regulares.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2"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C7C79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5DFE4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2V8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image" Target="media/section_image4.png"/><Relationship Id="rId12" Type="http://schemas.openxmlformats.org/officeDocument/2006/relationships/hyperlink" Target="https://cdn.mtmedia25.com/contratos/contratoadhesion-mega-travel-operadora-20241002.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2025-09-18T11:33:15-06:00</dcterms:created>
  <dcterms:modified xsi:type="dcterms:W3CDTF">2025-09-18T11:33:15-06:00</dcterms:modified>
</cp:coreProperties>
</file>

<file path=docProps/custom.xml><?xml version="1.0" encoding="utf-8"?>
<Properties xmlns="http://schemas.openxmlformats.org/officeDocument/2006/custom-properties" xmlns:vt="http://schemas.openxmlformats.org/officeDocument/2006/docPropsVTypes"/>
</file>