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Inicio desde Barcelona</w:t>
      </w:r>
    </w:p>
    <w:p>
      <w:pPr>
        <w:jc w:val="start"/>
      </w:pPr>
      <w:r>
        <w:rPr>
          <w:rFonts w:ascii="Arial" w:hAnsi="Arial" w:eastAsia="Arial" w:cs="Arial"/>
          <w:sz w:val="22.5"/>
          <w:szCs w:val="22.5"/>
          <w:b w:val="1"/>
          <w:bCs w:val="1"/>
        </w:rPr>
        <w:t xml:space="preserve">MT-12498  </w:t>
      </w:r>
      <w:r>
        <w:rPr>
          <w:rFonts w:ascii="Arial" w:hAnsi="Arial" w:eastAsia="Arial" w:cs="Arial"/>
          <w:sz w:val="22.5"/>
          <w:szCs w:val="22.5"/>
        </w:rPr>
        <w:t xml:space="preserve">- Web: </w:t>
      </w:r>
      <w:hyperlink r:id="rId7" w:history="1">
        <w:r>
          <w:rPr>
            <w:color w:val="blue"/>
          </w:rPr>
          <w:t xml:space="preserve">https://viaje.mt/BmG4l</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Abril:  05,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Fátima, Lisboa, Sevilla, Granada, Málaga, Algeciras, Tanger, Casablanca, Marrakech, Rabat, Fez, Valencia.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Mexico 3 hrs antes para tomar el vuelo trasatlántico con destino 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disentilde;ada por el arquitecto espantilde;ol/catalán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Sentilde;ora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Espantilde;a,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Espantilde;a.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FATIMA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a la hora indicada tendremos el traslado a la hora indicada a Lisboa, realizando una parada tecnica en Fatima para despues tomar camino a nuestro destino.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haremos una breve visita panorámica de la ciudad, durante la cual nos acercaremos al barrio de Belém,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LISBOA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SEVILLA  -  GRANADA  -  MALAGA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tendremos una visita panoramica a lo mas respresentativo, posteriormente tomamos camino en direccion a Malaga.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MALAGA  -  ALGEZIRAS  -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Después partiremos hacia el sur, cruzando la pintoresca región andaluza en dirección a Algeciras, donde el océano Atlántico se encuentra con el mar de Gibraltar. Desde allí, tomarás el ferry que te llevará directamente a Tánger, una ciudad vibrante y llena de historia, donde el bullicio de los zocos se mezcla con la influencia europea y africana.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por Tánger, una ciudad rica en historia y cultura, ubicada en el cruce entre Europa y áfrica. Este recorrido te llevará por sus calles vibrantes, su medina pintoresca y el puerto, donde se respira una mezcla de influencias espantilde;olas, francesas y locales. Durante el recorrido, podrás ver monumentos clave, como la Kasbah, el Faro de Tánger y otros lugares emblemáticos, mientras descubres cómo la ciudad ha sido un punto de encuentro entre distintas civilizaciones.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TANGER  -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Casablanca, la vibrante capital económica de Marruecos. Disfruta de tiempo libre para explorar esta fascinante ciudad, con la opción de visitar la impresionante Mezquita Hassan II, un icono de la arquitectura moderna que se alza junto al Atlántico. Por la tarde, continuaremos nuestro viaje hacia Marrakech, la mágica ciudad roja que promete envolvernos con su energía y encanto.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Prepárate para un día lleno de magia en Marrakech, la joya roja de Marruecos.Comenzaremos con una breve visita panorámica, explorando el bullicioso corazón de laCiudad de la emblemática Plaza Jemaa el-Fna, un teatro vivo de aromas, sonidos y colores.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los majestuosos exteriores de la Mezquita Koutoubia, los vibrantes zocos yEl esplendor de sus jardines y palacios históricos. Por la tarde, tendremos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MARRAKECH  -  RABAT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Rabat, la majestuosa capital de Marruecos, donde nos espera una breve visita panorámica que revela su rica historia y elegancia. Exploraremos el imponente Mausoleo de Mohamed V y la icónica Torre Hassan. Concluiremos nuestra jornada con un viaje hacia Fez, donde la magia de la ciudad antigua nos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nos sumergiremos en la fascinante historia de Fez con una breve visita panorámica que nos revelará sus secretos más encantadores, desde los sinuosos callejones de su medina hasta las impresionantes puertas de sus antiguos palacios. Finalmente, continuaremos nuestro viaje hacia Algeciras, donde culmina esta aventura inolvidable en tierras marroquíes.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ALGECIRAS  -  VALENCIA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Valencia, llegada y visita del centro histórico paseando por las callejuelas con sus casa. Tiempo libre para visitar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VALENCIA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Tarde libre para realizar actividades. Regreso a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Consultar itinerario de acuerdo a su fecha de salida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itinerario esta sujeto a cambios y/o modificaciones.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26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Hotel Zenit Malaga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amp;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Algeciras</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Valencia</w:t>
            </w:r>
          </w:p>
        </w:tc>
        <w:tc>
          <w:tcPr>
            <w:tcW w:w="5000" w:type="pct"/>
          </w:tcPr>
          <w:p>
            <w:pPr/>
            <w:r>
              <w:rPr>
                <w:rFonts w:ascii="Arial" w:hAnsi="Arial" w:eastAsia="Arial" w:cs="Arial"/>
                <w:color w:val="000000"/>
                <w:sz w:val="18"/>
                <w:szCs w:val="18"/>
              </w:rPr>
              <w:t xml:space="preserve">Sh Valencia Palace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T: Hoteles de categor</w:t>
            </w:r>
            <w:r>
              <w:rPr>
                <w:rFonts w:ascii="Arial" w:hAnsi="Arial" w:eastAsia="Arial" w:cs="Arial"/>
                <w:color w:val="000000"/>
                <w:sz w:val="18"/>
                <w:szCs w:val="18"/>
              </w:rPr>
              <w:t xml:space="preserve">ía turista			TS: Hoteles de categor</w:t>
            </w:r>
            <w:r>
              <w:rPr>
                <w:rFonts w:ascii="Arial" w:hAnsi="Arial" w:eastAsia="Arial" w:cs="Arial"/>
                <w:color w:val="000000"/>
                <w:sz w:val="18"/>
                <w:szCs w:val="18"/>
              </w:rPr>
              <w:t xml:space="preserve">ía turista superior			P: Hoteles de categor</w:t>
            </w:r>
            <w:r>
              <w:rPr>
                <w:rFonts w:ascii="Arial" w:hAnsi="Arial" w:eastAsia="Arial" w:cs="Arial"/>
                <w:color w:val="000000"/>
                <w:sz w:val="18"/>
                <w:szCs w:val="18"/>
              </w:rPr>
              <w:t xml:space="preserve">ía primera</w:t>
            </w:r>
          </w:p>
        </w:tc>
      </w:tr>
      <w:tr>
        <w:trPr/>
        <w:tc>
          <w:tcPr>
            <w:tcW w:w="5000" w:type="pct"/>
            <w:gridSpan w:val="4"/>
          </w:tcPr>
          <w:p>
            <w:pPr/>
            <w:r>
              <w:rPr>
                <w:rFonts w:ascii="Arial" w:hAnsi="Arial" w:eastAsia="Arial" w:cs="Arial"/>
                <w:color w:val="000000"/>
                <w:sz w:val="18"/>
                <w:szCs w:val="18"/>
              </w:rPr>
              <w:t xml:space="preserve">* Esta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			* Durante la celebraci</w:t>
            </w:r>
            <w:r>
              <w:rPr>
                <w:rFonts w:ascii="Arial" w:hAnsi="Arial" w:eastAsia="Arial" w:cs="Arial"/>
                <w:color w:val="000000"/>
                <w:sz w:val="18"/>
                <w:szCs w:val="18"/>
              </w:rPr>
              <w:t xml:space="preserve">ón de Olimpiadas en Par</w:t>
            </w:r>
            <w:r>
              <w:rPr>
                <w:rFonts w:ascii="Arial" w:hAnsi="Arial" w:eastAsia="Arial" w:cs="Arial"/>
                <w:color w:val="000000"/>
                <w:sz w:val="18"/>
                <w:szCs w:val="18"/>
              </w:rPr>
              <w:t xml:space="preserve">ís, el alojamiento podr</w:t>
            </w:r>
            <w:r>
              <w:rPr>
                <w:rFonts w:ascii="Arial" w:hAnsi="Arial" w:eastAsia="Arial" w:cs="Arial"/>
                <w:color w:val="000000"/>
                <w:sz w:val="18"/>
                <w:szCs w:val="18"/>
              </w:rPr>
              <w:t xml:space="preserve">ía ser desviado a poblaciones cercanas</w:t>
            </w:r>
          </w:p>
        </w:tc>
      </w:tr>
    </w:tbl>
    <w:p>
      <w:pPr>
        <w:jc w:val="start"/>
      </w:pPr>
      <w:r>
        <w:rPr>
          <w:rFonts w:ascii="Arial" w:hAnsi="Arial" w:eastAsia="Arial" w:cs="Arial"/>
          <w:sz w:val="22.5"/>
          <w:szCs w:val="22.5"/>
          <w:b w:val="1"/>
          <w:bCs w:val="1"/>
        </w:rPr>
        <w:t xml:space="preserve">Precios vigentes hasta el 04/02/2026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Barcelona - México volando en clase turista.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602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E4698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mG4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2025-07-12T08:29:46-06:00</dcterms:created>
  <dcterms:modified xsi:type="dcterms:W3CDTF">2025-07-12T08:29:46-06:00</dcterms:modified>
</cp:coreProperties>
</file>

<file path=docProps/custom.xml><?xml version="1.0" encoding="utf-8"?>
<Properties xmlns="http://schemas.openxmlformats.org/officeDocument/2006/custom-properties" xmlns:vt="http://schemas.openxmlformats.org/officeDocument/2006/docPropsVTypes"/>
</file>