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 Flamenco</w:t>
      </w:r>
    </w:p>
    <w:p>
      <w:pPr>
        <w:jc w:val="start"/>
      </w:pPr>
      <w:r>
        <w:rPr>
          <w:rFonts w:ascii="Arial" w:hAnsi="Arial" w:eastAsia="Arial" w:cs="Arial"/>
          <w:sz w:val="22.5"/>
          <w:szCs w:val="22.5"/>
          <w:b w:val="1"/>
          <w:bCs w:val="1"/>
        </w:rPr>
        <w:t xml:space="preserve">MT-14331  </w:t>
      </w:r>
      <w:r>
        <w:rPr>
          <w:rFonts w:ascii="Arial" w:hAnsi="Arial" w:eastAsia="Arial" w:cs="Arial"/>
          <w:sz w:val="22.5"/>
          <w:szCs w:val="22.5"/>
        </w:rPr>
        <w:t xml:space="preserve">- Web: </w:t>
      </w:r>
      <w:hyperlink r:id="rId7" w:history="1">
        <w:r>
          <w:rPr>
            <w:color w:val="blue"/>
          </w:rPr>
          <w:t xml:space="preserve">https://viaje.mt/tukjl</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$2480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Viernes (Consultar las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Inglaterra,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Córdoba, Sevilla, Granada, Toledo, Burdeos, Valle del Loira, Orleans, Calais, Dover, Londres,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 México – Madrid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Presentarse en el aeropuerto de la Ciudad de México para tomar el vuelo trasatlántico con destino a Madrid. Noche a bordo.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de Madrid, Barajas. Asistencia y traslado al hotel. Resto del día libre. Alojamiento.</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b w:val="1"/>
          <w:bCs w:val="1"/>
        </w:rPr>
        <w:t xml:space="preserve">Día 04     Madrid – Córdoba - Sevilla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a través de La Mancha hacia Andalucía para llegar a Córdoba. Visita de la ciudad incluyendo el interior de su famosa Mezquita/Catedral y el Barrio Judío. Posteriormente continuación a Sevilla. Cena. Alojamiento.</w:t>
      </w:r>
    </w:p>
    <w:p>
      <w:pPr>
        <w:jc w:val="both"/>
      </w:pPr>
      <w:r>
        <w:rPr>
          <w:rFonts w:ascii="Arial" w:hAnsi="Arial" w:eastAsia="Arial" w:cs="Arial"/>
          <w:sz w:val="18"/>
          <w:szCs w:val="18"/>
          <w:b w:val="1"/>
          <w:bCs w:val="1"/>
        </w:rPr>
        <w:t xml:space="preserve">Día 05- Sevilla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Media pensión. Por la mañana visita de la ciudad, incluyendo el Parque de María Luisa, la Plaza de España, el exterior de la imponente Catedral y la Giralda y el típico Barrio de Santa Cruz con sus calles, plazas y estrechos callejones. Tiempo libre. Alojamiento.</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Podrá navegar por el rio Guadalquivir donde disfrutará de una panorámica con la Torre del Oro y la Expo 92</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Plaza de toros de la Maestranza y por la noche asistir a un espectáculo de baile flamenco. </w:t>
      </w:r>
    </w:p>
    <w:p>
      <w:pPr>
        <w:jc w:val="both"/>
      </w:pPr>
      <w:r>
        <w:rPr>
          <w:rFonts w:ascii="Arial" w:hAnsi="Arial" w:eastAsia="Arial" w:cs="Arial"/>
          <w:sz w:val="18"/>
          <w:szCs w:val="18"/>
          <w:b w:val="1"/>
          <w:bCs w:val="1"/>
        </w:rPr>
        <w:t xml:space="preserve">Día 06- Sevilla - Granada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la legendaria ciudad de Granada. Visita del impresionante conjunto monumental de La Alhambra, Patrimonio de la Humanidad y los hermosos jardines del Generalife. Cena. Alojamiento.</w:t>
      </w:r>
    </w:p>
    <w:p>
      <w:pPr>
        <w:jc w:val="both"/>
      </w:pPr>
      <w:r>
        <w:rPr>
          <w:rFonts w:ascii="Arial" w:hAnsi="Arial" w:eastAsia="Arial" w:cs="Arial"/>
          <w:sz w:val="18"/>
          <w:szCs w:val="18"/>
          <w:b w:val="1"/>
          <w:bCs w:val="1"/>
        </w:rPr>
        <w:t xml:space="preserve">Día 07- Granada – Toledo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la Imperial ciudad de Toledo cuna de civilizaciones. Almuerzo. Visita panorámica desde el Mirador del Valle y paseo a pie por el casco antiguo. Posteriormente continuación hacia Madrid  Alojamiento.</w:t>
      </w:r>
    </w:p>
    <w:p>
      <w:pPr>
        <w:jc w:val="both"/>
      </w:pPr>
      <w:r>
        <w:rPr>
          <w:rFonts w:ascii="Arial" w:hAnsi="Arial" w:eastAsia="Arial" w:cs="Arial"/>
          <w:sz w:val="18"/>
          <w:szCs w:val="18"/>
          <w:b w:val="1"/>
          <w:bCs w:val="1"/>
        </w:rPr>
        <w:t xml:space="preserve">Día 08- Madrid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con dirección al norte de España vía Burgos y San Sebastián hacia la frontera francesa y cruzando los Pirineos llegaremos a la ciudad de Burdeos, capital de Aquitania y Patrimonio de la Humanidad, importante región vinícola. Alojamiento. </w:t>
      </w:r>
    </w:p>
    <w:p>
      <w:pPr>
        <w:jc w:val="both"/>
      </w:pPr>
      <w:r>
        <w:rPr>
          <w:rFonts w:ascii="Arial" w:hAnsi="Arial" w:eastAsia="Arial" w:cs="Arial"/>
          <w:sz w:val="18"/>
          <w:szCs w:val="18"/>
          <w:b w:val="1"/>
          <w:bCs w:val="1"/>
        </w:rPr>
        <w:t xml:space="preserve">Día 09- Burdeos - Valle Del Loira - Orleans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Alojamiento.</w:t>
      </w:r>
    </w:p>
    <w:p>
      <w:pPr>
        <w:jc w:val="both"/>
      </w:pPr>
      <w:r>
        <w:rPr>
          <w:rFonts w:ascii="Arial" w:hAnsi="Arial" w:eastAsia="Arial" w:cs="Arial"/>
          <w:sz w:val="18"/>
          <w:szCs w:val="18"/>
          <w:b w:val="1"/>
          <w:bCs w:val="1"/>
        </w:rPr>
        <w:t xml:space="preserve">Día 10- Orleans – Calais – Dover - Londres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Desayuno.Salida hacia el puerto de Calais, donde se embarcará en el ferry para cruzar el Canal de la Mancha. Desembarque en el puerto inglés de Dover y continuación en nuestro autobús hasta llegar a Londres. Alojamiento.</w:t>
      </w:r>
    </w:p>
    <w:p>
      <w:pPr>
        <w:jc w:val="both"/>
      </w:pPr>
      <w:r>
        <w:rPr>
          <w:rFonts w:ascii="Arial" w:hAnsi="Arial" w:eastAsia="Arial" w:cs="Arial"/>
          <w:sz w:val="18"/>
          <w:szCs w:val="18"/>
          <w:b w:val="1"/>
          <w:bCs w:val="1"/>
        </w:rPr>
        <w:t xml:space="preserve">Día 11- Londres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Alojamiento.</w:t>
      </w:r>
    </w:p>
    <w:p>
      <w:pPr>
        <w:jc w:val="both"/>
      </w:pPr>
      <w:r>
        <w:rPr>
          <w:rFonts w:ascii="Arial" w:hAnsi="Arial" w:eastAsia="Arial" w:cs="Arial"/>
          <w:sz w:val="18"/>
          <w:szCs w:val="18"/>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w:t>
      </w:r>
    </w:p>
    <w:p>
      <w:pPr>
        <w:jc w:val="both"/>
      </w:pPr>
      <w:r>
        <w:rPr>
          <w:rFonts w:ascii="Arial" w:hAnsi="Arial" w:eastAsia="Arial" w:cs="Arial"/>
          <w:sz w:val="18"/>
          <w:szCs w:val="18"/>
          <w:b w:val="1"/>
          <w:bCs w:val="1"/>
        </w:rPr>
        <w:t xml:space="preserve">Día 12- Londres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para seguir conociendo una de las capitales más animadas del mundo, realizar compras en sus afamados comercios o visitar algunos de sus museos.. Alojamiento.</w:t>
      </w:r>
    </w:p>
    <w:p>
      <w:pPr>
        <w:jc w:val="both"/>
      </w:pPr>
      <w:r>
        <w:rPr>
          <w:rFonts w:ascii="Arial" w:hAnsi="Arial" w:eastAsia="Arial" w:cs="Arial"/>
          <w:sz w:val="18"/>
          <w:szCs w:val="18"/>
          <w:b w:val="1"/>
          <w:bCs w:val="1"/>
        </w:rPr>
        <w:t xml:space="preserve">Día 13- Londres – Dover – Calais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Dover para abordar el ferry y cruzar el Canal de la Mancha hacia Calais, ya en territorio francés continuaremos en nuestro autobús hacia Paris. Alojamiento.</w:t>
      </w:r>
    </w:p>
    <w:p>
      <w:pPr>
        <w:jc w:val="both"/>
      </w:pPr>
      <w:r>
        <w:rPr>
          <w:rFonts w:ascii="Arial" w:hAnsi="Arial" w:eastAsia="Arial" w:cs="Arial"/>
          <w:sz w:val="18"/>
          <w:szCs w:val="18"/>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y un crucero por el Sena.  </w:t>
      </w:r>
    </w:p>
    <w:p>
      <w:pPr>
        <w:jc w:val="both"/>
      </w:pPr>
      <w:r>
        <w:rPr>
          <w:rFonts w:ascii="Arial" w:hAnsi="Arial" w:eastAsia="Arial" w:cs="Arial"/>
          <w:sz w:val="18"/>
          <w:szCs w:val="18"/>
          <w:b w:val="1"/>
          <w:bCs w:val="1"/>
        </w:rPr>
        <w:t xml:space="preserve">Día 14-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Espectáculos de Paris Latin o Lido.  </w:t>
      </w:r>
    </w:p>
    <w:p>
      <w:pPr>
        <w:jc w:val="both"/>
      </w:pPr>
      <w:r>
        <w:rPr>
          <w:rFonts w:ascii="Arial" w:hAnsi="Arial" w:eastAsia="Arial" w:cs="Arial"/>
          <w:sz w:val="18"/>
          <w:szCs w:val="18"/>
          <w:b w:val="1"/>
          <w:bCs w:val="1"/>
        </w:rPr>
        <w:t xml:space="preserve">Día 15-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personales.Alojamiento.</w:t>
      </w:r>
    </w:p>
    <w:p>
      <w:pPr>
        <w:jc w:val="both"/>
      </w:pPr>
      <w:r>
        <w:rPr>
          <w:rFonts w:ascii="Arial" w:hAnsi="Arial" w:eastAsia="Arial" w:cs="Arial"/>
          <w:sz w:val="18"/>
          <w:szCs w:val="18"/>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Magnífico Palacio de Versalles, declarado Patrimonio de la Humanidad, para conocer su imponente arquitectura y sus bellos jardines.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caso de no poder realizar las excursiones opcionales mencionadas, se ofrecerán otras alternativas durante el curso del tour).</w:t>
      </w:r>
    </w:p>
    <w:p>
      <w:pPr>
        <w:jc w:val="both"/>
      </w:pPr>
      <w:r>
        <w:rPr>
          <w:rFonts w:ascii="Arial" w:hAnsi="Arial" w:eastAsia="Arial" w:cs="Arial"/>
          <w:sz w:val="18"/>
          <w:szCs w:val="18"/>
          <w:b w:val="1"/>
          <w:bCs w:val="1"/>
        </w:rPr>
        <w:t xml:space="preserve">Día 16- París – México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2025-03-21 Hasta 2025-06-20Desde 2025-08-22 Hasta 2025-10-24</w:t>
            </w:r>
          </w:p>
        </w:tc>
        <w:tc>
          <w:tcPr>
            <w:tcW w:w="5000" w:type="pct"/>
          </w:tcPr>
          <w:p>
            <w:pPr/>
            <w:r>
              <w:rPr>
                <w:rFonts w:ascii="Arial" w:hAnsi="Arial" w:eastAsia="Arial" w:cs="Arial"/>
                <w:color w:val="000000"/>
                <w:sz w:val="18"/>
                <w:szCs w:val="18"/>
              </w:rPr>
              <w:t xml:space="preserve">$2620</w:t>
            </w:r>
          </w:p>
        </w:tc>
        <w:tc>
          <w:tcPr>
            <w:tcW w:w="5000" w:type="pct"/>
          </w:tcPr>
          <w:p>
            <w:pPr/>
            <w:r>
              <w:rPr>
                <w:rFonts w:ascii="Arial" w:hAnsi="Arial" w:eastAsia="Arial" w:cs="Arial"/>
                <w:color w:val="000000"/>
                <w:sz w:val="18"/>
                <w:szCs w:val="18"/>
              </w:rPr>
              <w:t xml:space="preserve">$2620</w:t>
            </w:r>
          </w:p>
        </w:tc>
        <w:tc>
          <w:tcPr>
            <w:tcW w:w="5000" w:type="pct"/>
          </w:tcPr>
          <w:p>
            <w:pPr/>
            <w:r>
              <w:rPr>
                <w:rFonts w:ascii="Arial" w:hAnsi="Arial" w:eastAsia="Arial" w:cs="Arial"/>
                <w:color w:val="000000"/>
                <w:sz w:val="18"/>
                <w:szCs w:val="18"/>
              </w:rPr>
              <w:t xml:space="preserve">$3750</w:t>
            </w:r>
          </w:p>
        </w:tc>
        <w:tc>
          <w:tcPr>
            <w:tcW w:w="5000" w:type="pct"/>
          </w:tcPr>
          <w:p>
            <w:pPr/>
            <w:r>
              <w:rPr>
                <w:rFonts w:ascii="Arial" w:hAnsi="Arial" w:eastAsia="Arial" w:cs="Arial"/>
                <w:color w:val="000000"/>
                <w:sz w:val="18"/>
                <w:szCs w:val="18"/>
              </w:rPr>
              <w:t xml:space="preserve">$1965</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2025-06-27 Hasta 2025-08-15</w:t>
            </w:r>
          </w:p>
        </w:tc>
        <w:tc>
          <w:tcPr>
            <w:tcW w:w="5000" w:type="pct"/>
          </w:tcPr>
          <w:p>
            <w:pPr/>
            <w:r>
              <w:rPr>
                <w:rFonts w:ascii="Arial" w:hAnsi="Arial" w:eastAsia="Arial" w:cs="Arial"/>
                <w:color w:val="000000"/>
                <w:sz w:val="18"/>
                <w:szCs w:val="18"/>
              </w:rPr>
              <w:t xml:space="preserve">$2530</w:t>
            </w:r>
          </w:p>
        </w:tc>
        <w:tc>
          <w:tcPr>
            <w:tcW w:w="5000" w:type="pct"/>
          </w:tcPr>
          <w:p>
            <w:pPr/>
            <w:r>
              <w:rPr>
                <w:rFonts w:ascii="Arial" w:hAnsi="Arial" w:eastAsia="Arial" w:cs="Arial"/>
                <w:color w:val="000000"/>
                <w:sz w:val="18"/>
                <w:szCs w:val="18"/>
              </w:rPr>
              <w:t xml:space="preserve">$2530</w:t>
            </w:r>
          </w:p>
        </w:tc>
        <w:tc>
          <w:tcPr>
            <w:tcW w:w="5000" w:type="pct"/>
          </w:tcPr>
          <w:p>
            <w:pPr/>
            <w:r>
              <w:rPr>
                <w:rFonts w:ascii="Arial" w:hAnsi="Arial" w:eastAsia="Arial" w:cs="Arial"/>
                <w:color w:val="000000"/>
                <w:sz w:val="18"/>
                <w:szCs w:val="18"/>
              </w:rPr>
              <w:t xml:space="preserve">$3660</w:t>
            </w:r>
          </w:p>
        </w:tc>
        <w:tc>
          <w:tcPr>
            <w:tcW w:w="5000" w:type="pct"/>
          </w:tcPr>
          <w:p>
            <w:pPr/>
            <w:r>
              <w:rPr>
                <w:rFonts w:ascii="Arial" w:hAnsi="Arial" w:eastAsia="Arial" w:cs="Arial"/>
                <w:color w:val="000000"/>
                <w:sz w:val="18"/>
                <w:szCs w:val="18"/>
              </w:rPr>
              <w:t xml:space="preserve">$1898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2025-10-31 Hasta 2026-03-13</w:t>
            </w:r>
          </w:p>
        </w:tc>
        <w:tc>
          <w:tcPr>
            <w:tcW w:w="5000" w:type="pct"/>
          </w:tcPr>
          <w:p>
            <w:pPr/>
            <w:r>
              <w:rPr>
                <w:rFonts w:ascii="Arial" w:hAnsi="Arial" w:eastAsia="Arial" w:cs="Arial"/>
                <w:color w:val="000000"/>
                <w:sz w:val="18"/>
                <w:szCs w:val="18"/>
              </w:rPr>
              <w:t xml:space="preserve">$2480</w:t>
            </w:r>
          </w:p>
        </w:tc>
        <w:tc>
          <w:tcPr>
            <w:tcW w:w="5000" w:type="pct"/>
          </w:tcPr>
          <w:p>
            <w:pPr/>
            <w:r>
              <w:rPr>
                <w:rFonts w:ascii="Arial" w:hAnsi="Arial" w:eastAsia="Arial" w:cs="Arial"/>
                <w:color w:val="000000"/>
                <w:sz w:val="18"/>
                <w:szCs w:val="18"/>
              </w:rPr>
              <w:t xml:space="preserve">$2480</w:t>
            </w:r>
          </w:p>
        </w:tc>
        <w:tc>
          <w:tcPr>
            <w:tcW w:w="5000" w:type="pct"/>
          </w:tcPr>
          <w:p>
            <w:pPr/>
            <w:r>
              <w:rPr>
                <w:rFonts w:ascii="Arial" w:hAnsi="Arial" w:eastAsia="Arial" w:cs="Arial"/>
                <w:color w:val="000000"/>
                <w:sz w:val="18"/>
                <w:szCs w:val="18"/>
              </w:rPr>
              <w:t xml:space="preserve">$3610</w:t>
            </w:r>
          </w:p>
        </w:tc>
        <w:tc>
          <w:tcPr>
            <w:tcW w:w="5000" w:type="pct"/>
          </w:tcPr>
          <w:p>
            <w:pPr/>
            <w:r>
              <w:rPr>
                <w:rFonts w:ascii="Arial" w:hAnsi="Arial" w:eastAsia="Arial" w:cs="Arial"/>
                <w:color w:val="000000"/>
                <w:sz w:val="18"/>
                <w:szCs w:val="18"/>
              </w:rPr>
              <w:t xml:space="preserve">$1898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$89 USD</w:t>
            </w:r>
          </w:p>
        </w:tc>
        <w:tc>
          <w:tcPr>
            <w:tcW w:w="5000" w:type="pct"/>
          </w:tcPr>
          <w:p>
            <w:pPr/>
            <w:r>
              <w:rPr>
                <w:rFonts w:ascii="Arial" w:hAnsi="Arial" w:eastAsia="Arial" w:cs="Arial"/>
                <w:color w:val="000000"/>
                <w:sz w:val="18"/>
                <w:szCs w:val="18"/>
              </w:rPr>
              <w:t xml:space="preserve">$178 USD</w:t>
            </w:r>
          </w:p>
        </w:tc>
      </w:tr>
    </w:tbl>
    <w:p>
      <w:pPr>
        <w:jc w:val="start"/>
      </w:pPr>
      <w:r>
        <w:rPr>
          <w:rFonts w:ascii="Arial" w:hAnsi="Arial" w:eastAsia="Arial" w:cs="Arial"/>
          <w:color w:val="000000"/>
          <w:sz w:val="18"/>
          <w:szCs w:val="18"/>
        </w:rPr>
        <w:t xml:space="preserve">–Precios indicados en USD, pagaderos en moneda nacional al tipo de cambio del día.–Consultar precio de la salida de interés, precio sujeto a cambio de acuerdo a la fecha de salida–Este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solicitada–Itinerario sujeto a cambio, de acuerdo con su fecha de salida.–La tarifa de menor es aplicable entre los 4 y 06 años 11 meses de edad, compartiendo habitación con 2 adultos, si no se tiene este acomodo la tarifa a cobrar del menor será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gridSpan w:val="1"/>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Agumar</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Exe Sevilla Macarena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Abades Nevada Palace</w:t>
            </w:r>
          </w:p>
        </w:tc>
        <w:tc>
          <w:tcPr>
            <w:tcW w:w="5000" w:type="pct"/>
          </w:tcPr>
          <w:p>
            <w:pPr/>
            <w:r>
              <w:rPr>
                <w:rFonts w:ascii="Arial" w:hAnsi="Arial" w:eastAsia="Arial" w:cs="Arial"/>
                <w:color w:val="000000"/>
                <w:sz w:val="18"/>
                <w:szCs w:val="18"/>
              </w:rPr>
              <w:t xml:space="preserve">P</w:t>
            </w:r>
          </w:p>
        </w:tc>
      </w:tr>
      <w:tr>
        <w:trPr/>
        <w:tc>
          <w:tcPr>
            <w:tcW w:w="5000" w:type="pct"/>
            <w:gridSpan w:val="1"/>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Campanile Bordeaux Le Lac Sure by Best Western Bdx Lac B</w:t>
            </w:r>
            <w:r>
              <w:rPr>
                <w:rFonts w:ascii="Arial" w:hAnsi="Arial" w:eastAsia="Arial" w:cs="Arial"/>
                <w:color w:val="000000"/>
                <w:sz w:val="18"/>
                <w:szCs w:val="18"/>
              </w:rPr>
              <w:t xml:space="preserve">B Bordeaux Les Begles</w:t>
            </w:r>
          </w:p>
        </w:tc>
        <w:tc>
          <w:tcPr>
            <w:tcW w:w="5000" w:type="pct"/>
          </w:tcPr>
          <w:p>
            <w:pPr/>
            <w:r>
              <w:rPr>
                <w:rFonts w:ascii="Arial" w:hAnsi="Arial" w:eastAsia="Arial" w:cs="Arial"/>
                <w:color w:val="000000"/>
                <w:sz w:val="18"/>
                <w:szCs w:val="18"/>
              </w:rPr>
              <w:t xml:space="preserve">T T T</w:t>
            </w:r>
          </w:p>
        </w:tc>
      </w:tr>
      <w:tr>
        <w:trPr/>
        <w:tc>
          <w:tcPr>
            <w:tcW w:w="5000" w:type="pct"/>
          </w:tcPr>
          <w:p>
            <w:pPr/>
            <w:r>
              <w:rPr>
                <w:rFonts w:ascii="Arial" w:hAnsi="Arial" w:eastAsia="Arial" w:cs="Arial"/>
                <w:color w:val="000000"/>
                <w:sz w:val="18"/>
                <w:szCs w:val="18"/>
              </w:rPr>
              <w:t xml:space="preserve">Orleans</w:t>
            </w:r>
          </w:p>
        </w:tc>
        <w:tc>
          <w:tcPr>
            <w:tcW w:w="5000" w:type="pct"/>
          </w:tcPr>
          <w:p>
            <w:pPr/>
            <w:r>
              <w:rPr>
                <w:rFonts w:ascii="Arial" w:hAnsi="Arial" w:eastAsia="Arial" w:cs="Arial"/>
                <w:color w:val="000000"/>
                <w:sz w:val="18"/>
                <w:szCs w:val="18"/>
              </w:rPr>
              <w:t xml:space="preserve">Ibis Orleans Centre Foch</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Holiday Inn Express Earl’s Court Ibis Earl’s Court Royal National</w:t>
            </w:r>
          </w:p>
        </w:tc>
        <w:tc>
          <w:tcPr>
            <w:tcW w:w="5000" w:type="pct"/>
          </w:tcPr>
          <w:p>
            <w:pPr/>
            <w:r>
              <w:rPr>
                <w:rFonts w:ascii="Arial" w:hAnsi="Arial" w:eastAsia="Arial" w:cs="Arial"/>
                <w:color w:val="000000"/>
                <w:sz w:val="18"/>
                <w:szCs w:val="18"/>
              </w:rPr>
              <w:t xml:space="preserve">T T TS</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Porte D´Italie Ibis Paris Pantin Eglise</w:t>
            </w:r>
          </w:p>
        </w:tc>
        <w:tc>
          <w:tcPr>
            <w:tcW w:w="5000" w:type="pct"/>
          </w:tcPr>
          <w:p>
            <w:pPr/>
            <w:r>
              <w:rPr>
                <w:rFonts w:ascii="Arial" w:hAnsi="Arial" w:eastAsia="Arial" w:cs="Arial"/>
                <w:color w:val="000000"/>
                <w:sz w:val="18"/>
                <w:szCs w:val="18"/>
              </w:rPr>
              <w:t xml:space="preserve">T T</w:t>
            </w:r>
          </w:p>
        </w:tc>
      </w:tr>
      <w:tr>
        <w:trPr/>
        <w:tc>
          <w:tcPr>
            <w:tcW w:w="5000" w:type="pct"/>
            <w:gridSpan w:val="4"/>
          </w:tcPr>
          <w:p>
            <w:pPr/>
            <w:r>
              <w:rPr>
                <w:rFonts w:ascii="Arial" w:hAnsi="Arial" w:eastAsia="Arial" w:cs="Arial"/>
                <w:color w:val="000000"/>
                <w:sz w:val="18"/>
                <w:szCs w:val="18"/>
              </w:rPr>
              <w:t xml:space="preserve">T: Hoteles de categoría turista TS: Hoteles de categoría turista superior 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13/03/2026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14 noches de alojamiento en categoria indicada.</w:t>
      </w:r>
    </w:p>
    <w:p>
      <w:pPr>
        <w:jc w:val="start"/>
      </w:pPr>
      <w:r>
        <w:rPr>
          <w:rFonts w:ascii="Arial" w:hAnsi="Arial" w:eastAsia="Arial" w:cs="Arial"/>
          <w:sz w:val="18"/>
          <w:szCs w:val="18"/>
        </w:rPr>
        <w:t xml:space="preserve">  ● Visita con guía local en Madrid, Córdoba, Sevilla, Granada, Toledo, Londres y París.  </w:t>
      </w:r>
    </w:p>
    <w:p>
      <w:pPr>
        <w:jc w:val="start"/>
      </w:pPr>
      <w:r>
        <w:rPr>
          <w:rFonts w:ascii="Arial" w:hAnsi="Arial" w:eastAsia="Arial" w:cs="Arial"/>
          <w:sz w:val="18"/>
          <w:szCs w:val="18"/>
        </w:rPr>
        <w:t xml:space="preserve">  ● Neceser de viaje con amenities.</w:t>
      </w:r>
    </w:p>
    <w:p>
      <w:pPr>
        <w:jc w:val="start"/>
      </w:pPr>
      <w:r>
        <w:rPr>
          <w:rFonts w:ascii="Arial" w:hAnsi="Arial" w:eastAsia="Arial" w:cs="Arial"/>
          <w:sz w:val="18"/>
          <w:szCs w:val="18"/>
        </w:rPr>
        <w:t xml:space="preserve">  ● Tasas Municipales en Francia</w:t>
      </w:r>
    </w:p>
    <w:p>
      <w:pPr>
        <w:jc w:val="start"/>
      </w:pPr>
      <w:r>
        <w:rPr>
          <w:rFonts w:ascii="Arial" w:hAnsi="Arial" w:eastAsia="Arial" w:cs="Arial"/>
          <w:sz w:val="18"/>
          <w:szCs w:val="18"/>
        </w:rPr>
        <w:t xml:space="preserve">  ● Regimen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Propina para guias acompañantes, choferes, tasas hoteleras, tasas municipales.</w:t>
      </w:r>
    </w:p>
    <w:p>
      <w:pPr>
        <w:jc w:val="start"/>
      </w:pPr>
      <w:r>
        <w:rPr>
          <w:rFonts w:ascii="Arial" w:hAnsi="Arial" w:eastAsia="Arial" w:cs="Arial"/>
          <w:sz w:val="18"/>
          <w:szCs w:val="18"/>
        </w:rPr>
        <w:t xml:space="preserve">  ● Excursiones opcionales (Sujetas a minimo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366E2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82D0E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70C4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ukjl"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2025-04-17T07:02:02-06:00</dcterms:created>
  <dcterms:modified xsi:type="dcterms:W3CDTF">2025-04-17T07:02:02-06:00</dcterms:modified>
</cp:coreProperties>
</file>

<file path=docProps/custom.xml><?xml version="1.0" encoding="utf-8"?>
<Properties xmlns="http://schemas.openxmlformats.org/officeDocument/2006/custom-properties" xmlns:vt="http://schemas.openxmlformats.org/officeDocument/2006/docPropsVTypes"/>
</file>