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Frankfurt, Berlin, Praga, Budapest Y Viena</w:t>
      </w:r>
    </w:p>
    <w:p>
      <w:pPr>
        <w:jc w:val="start"/>
      </w:pPr>
      <w:r>
        <w:rPr>
          <w:rFonts w:ascii="Arial" w:hAnsi="Arial" w:eastAsia="Arial" w:cs="Arial"/>
          <w:sz w:val="22.5"/>
          <w:szCs w:val="22.5"/>
          <w:b w:val="1"/>
          <w:bCs w:val="1"/>
        </w:rPr>
        <w:t xml:space="preserve">MT-14535  </w:t>
      </w:r>
      <w:r>
        <w:rPr>
          <w:rFonts w:ascii="Arial" w:hAnsi="Arial" w:eastAsia="Arial" w:cs="Arial"/>
          <w:sz w:val="22.5"/>
          <w:szCs w:val="22.5"/>
        </w:rPr>
        <w:t xml:space="preserve">- Web: </w:t>
      </w:r>
      <w:hyperlink r:id="rId7" w:history="1">
        <w:r>
          <w:rPr>
            <w:color w:val="blue"/>
          </w:rPr>
          <w:t xml:space="preserve">https://viaje.mt/lS9ns</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$1430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Erfurt,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Frankfurt. Traslado al hotel. Resto de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Frankfurt – Érfurt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Erfurt, la ciudad de las Agujas, que se levanta en un paisaje dominado por su magnífica catedral y la iglesia de San Severo. Tiempo libre. Por la tarde salida hacia Berlín, cosmopolita y moderna ciudad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recorriendo entre otros monumentos la puerta de Brandemburgo, la iglesia memorial del Kaiser Guillermo, el Reichstag y los restos del famoso muro.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 – Dresde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Dresde capital de Sajonia, hermosa ciudad a orillas del río Elba. Tiempo libre para recorrerla y admirar la Iglesia de Nuestra Señora. Continuación hacia la frontera Checa para llegar a la capital del país,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impresionante joya monumental, en la que visitaremos el puente de Carlos o la antigua torre del Ayuntamiento con el famoso y popular reloj astronómico.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a fondo al castillo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en profundidad esta mágica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Eslovaquia para llegar a su capital Bratislava, a orillas del río Danubio. Tiempo libre para conocer su atractivo centro histórico y admirar su famoso Castillo. Continuación del viaje hasta llegar a Budapest .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efectuar la visita a una de las ciudades más bellas de Europa, dividida en dos partes por el Río Danubio: Buda, la antigua sede real y zona residencial más elegante en lo alto de una colina y Pest, en la llanura, corazón económico y comercial de la ciudad, con su impresionante Parlamento. Enormes puentes unen ambas orillas. Recorreremos sus calles repletas de historia para descubrir por qué Budapest es conocida como “La Perla del Danubio”. Tarde libre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del folklore húngaro y paseo nocturno en barco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autobús hacia la imperial Viena donde llegaremos a primera hora de la tarde.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hacer nuestro recorrido por la ciudad con la avenida Ringstrasse con multitud de edificios históricos. Seguiremos hacia el canal de Danubio donde visitaremos la Casa Hundertwasser, terminando con un paseo por el casco histórico.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both"/>
      </w:pPr>
      <w:r>
        <w:rPr>
          <w:rFonts w:ascii="Arial" w:hAnsi="Arial" w:eastAsia="Arial" w:cs="Arial"/>
          <w:sz w:val="18"/>
          <w:szCs w:val="18"/>
        </w:rPr>
        <w:t xml:space="preserve">***Nota: Por motivos operativos el trayecto Frankfurt Berlín podría hacerse en tren, sin realizar la parada en Érfut.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2025-09-04 Hasta 2025-10-30 Desde 2026-03-05 Hasta 2026-04-30</w:t>
            </w:r>
          </w:p>
        </w:tc>
        <w:tc>
          <w:tcPr>
            <w:tcW w:w="5000" w:type="pct"/>
          </w:tcPr>
          <w:p>
            <w:pPr/>
            <w:r>
              <w:rPr>
                <w:rFonts w:ascii="Arial" w:hAnsi="Arial" w:eastAsia="Arial" w:cs="Arial"/>
                <w:color w:val="000000"/>
                <w:sz w:val="18"/>
                <w:szCs w:val="18"/>
              </w:rPr>
              <w:t xml:space="preserve">$1550</w:t>
            </w:r>
          </w:p>
        </w:tc>
        <w:tc>
          <w:tcPr>
            <w:tcW w:w="5000" w:type="pct"/>
          </w:tcPr>
          <w:p>
            <w:pPr/>
            <w:r>
              <w:rPr>
                <w:rFonts w:ascii="Arial" w:hAnsi="Arial" w:eastAsia="Arial" w:cs="Arial"/>
                <w:color w:val="000000"/>
                <w:sz w:val="18"/>
                <w:szCs w:val="18"/>
              </w:rPr>
              <w:t xml:space="preserve">$1550</w:t>
            </w:r>
          </w:p>
        </w:tc>
        <w:tc>
          <w:tcPr>
            <w:tcW w:w="5000" w:type="pct"/>
          </w:tcPr>
          <w:p>
            <w:pPr/>
            <w:r>
              <w:rPr>
                <w:rFonts w:ascii="Arial" w:hAnsi="Arial" w:eastAsia="Arial" w:cs="Arial"/>
                <w:color w:val="000000"/>
                <w:sz w:val="18"/>
                <w:szCs w:val="18"/>
              </w:rPr>
              <w:t xml:space="preserve">$2260</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2025-07-17 Hasta 2025-08-28 Desde 2025-12-04 Hasta 2025-12-25</w:t>
            </w:r>
          </w:p>
        </w:tc>
        <w:tc>
          <w:tcPr>
            <w:tcW w:w="5000" w:type="pct"/>
          </w:tcPr>
          <w:p>
            <w:pPr/>
            <w:r>
              <w:rPr>
                <w:rFonts w:ascii="Arial" w:hAnsi="Arial" w:eastAsia="Arial" w:cs="Arial"/>
                <w:color w:val="000000"/>
                <w:sz w:val="18"/>
                <w:szCs w:val="18"/>
              </w:rPr>
              <w:t xml:space="preserve">$1520</w:t>
            </w:r>
          </w:p>
        </w:tc>
        <w:tc>
          <w:tcPr>
            <w:tcW w:w="5000" w:type="pct"/>
          </w:tcPr>
          <w:p>
            <w:pPr/>
            <w:r>
              <w:rPr>
                <w:rFonts w:ascii="Arial" w:hAnsi="Arial" w:eastAsia="Arial" w:cs="Arial"/>
                <w:color w:val="000000"/>
                <w:sz w:val="18"/>
                <w:szCs w:val="18"/>
              </w:rPr>
              <w:t xml:space="preserve">$1520</w:t>
            </w:r>
          </w:p>
        </w:tc>
        <w:tc>
          <w:tcPr>
            <w:tcW w:w="5000" w:type="pct"/>
          </w:tcPr>
          <w:p>
            <w:pPr/>
            <w:r>
              <w:rPr>
                <w:rFonts w:ascii="Arial" w:hAnsi="Arial" w:eastAsia="Arial" w:cs="Arial"/>
                <w:color w:val="000000"/>
                <w:sz w:val="18"/>
                <w:szCs w:val="18"/>
              </w:rPr>
              <w:t xml:space="preserve">$2230</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2025-11-06 Hasta 2025-11-27 Desde 2026-01-01 Hasta 2026-02-26</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$2140</w:t>
            </w:r>
          </w:p>
        </w:tc>
      </w:tr>
    </w:tbl>
    <w:p>
      <w:pPr>
        <w:jc w:val="start"/>
      </w:pPr>
      <w:r>
        <w:rPr>
          <w:rFonts w:ascii="Arial" w:hAnsi="Arial" w:eastAsia="Arial" w:cs="Arial"/>
          <w:color w:val="000000"/>
          <w:sz w:val="18"/>
          <w:szCs w:val="18"/>
        </w:rPr>
        <w:t xml:space="preserve"> </w:t>
      </w:r>
    </w:p>
    <w:p>
      <w:pPr>
        <w:jc w:val="start"/>
      </w:pPr>
    </w:p>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Frankfurt Messe - Hiex Frankfurt Airport</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City Berlin East</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Zleep Hotel Prague - Hotel Olympik</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Ibis Heroes Square - Ibis Styles City West</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Hotel Rainers 21</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City Tax (22 $ netos a pagar junto con la reserva).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B64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DA7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S9ns"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2025-07-14T22:54:45-06:00</dcterms:created>
  <dcterms:modified xsi:type="dcterms:W3CDTF">2025-07-14T22:54:45-06:00</dcterms:modified>
</cp:coreProperties>
</file>

<file path=docProps/custom.xml><?xml version="1.0" encoding="utf-8"?>
<Properties xmlns="http://schemas.openxmlformats.org/officeDocument/2006/custom-properties" xmlns:vt="http://schemas.openxmlformats.org/officeDocument/2006/docPropsVTypes"/>
</file>