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Fátima y Santiago</w:t>
      </w:r>
    </w:p>
    <w:p>
      <w:pPr>
        <w:jc w:val="start"/>
      </w:pPr>
      <w:r>
        <w:rPr>
          <w:rFonts w:ascii="Arial" w:hAnsi="Arial" w:eastAsia="Arial" w:cs="Arial"/>
          <w:sz w:val="22.5"/>
          <w:szCs w:val="22.5"/>
          <w:b w:val="1"/>
          <w:bCs w:val="1"/>
        </w:rPr>
        <w:t xml:space="preserve">MT-14625  </w:t>
      </w:r>
      <w:r>
        <w:rPr>
          <w:rFonts w:ascii="Arial" w:hAnsi="Arial" w:eastAsia="Arial" w:cs="Arial"/>
          <w:sz w:val="22.5"/>
          <w:szCs w:val="22.5"/>
        </w:rPr>
        <w:t xml:space="preserve">- Web: </w:t>
      </w:r>
      <w:hyperlink r:id="rId7" w:history="1">
        <w:r>
          <w:rPr>
            <w:color w:val="blue"/>
          </w:rPr>
          <w:t xml:space="preserve">https://viaje.mt/itCw6</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$1044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Fátima, Santiago de Compostela, Ponte de Lima, Braga, Guimaraes, Oporto.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Lisboa.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Lisboa y traslado al hotel. A las 19:30 HRS, tendrá lugar la reunión con el guía en la recepción del hotel donde conoceremos al resto de participantes.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Lisboa – Fátima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una visita panorámica de la ciudad, para conocer el exterior de los principales puntos turísticos como la Torre de Belém, el Monasterio de los Jerónimos y también pasaremos por varios puntos del centro de la ciudad. Por la tarde salida hacia Fátima. Visita a Valinhos y Casa dos Pastorinhos, lugares de culto y al Santuario, destacando la Capilla de las Apariciones y la Basílica donde se encuentran las tumbas de Lucía, Jacinta y Francisco.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Degustación de los famosos pasteles de Belém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Misa vespertina.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la procesión de velas. </w:t>
      </w:r>
    </w:p>
    <w:p>
      <w:pPr>
        <w:jc w:val="both"/>
      </w:pPr>
      <w:r>
        <w:rPr>
          <w:rFonts w:ascii="Arial" w:hAnsi="Arial" w:eastAsia="Arial" w:cs="Arial"/>
          <w:sz w:val="18"/>
          <w:szCs w:val="18"/>
        </w:rPr>
        <w:t xml:space="preserve">***Nota: Recomendamos consultar el programa del Santuario para confirmar ceremonias y horario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Fátima – Santiago de Compostela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Santiago de Compostela por carretera siguiendo el Camino Portugués. Llegada a Santiago y visita del centro histórico turístico y religioso, donde destaca la fachada exterior de la Catedral de Santiago en la Plaza del Obradoiro, la plaza donde acuden diariamente numerosos peregrinos. Llegada al hotel y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Santiago de Compostela – Ponte de Lima – Braga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seguir descubriendo esta ciudad o acudir a algún compromiso religioso. A la hora convenida, regreso a Portugal por la villa de Ponte de Lima, donde tendremos tiempo libre para compras. Continuación a Braga donde realizaremos una panorámica destacando el exterior de la catedral, la más antigua de Portugal, y después, visita al santuario Bom Jesús. Llegada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Braga – Guimaraes – Braga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Guimarães, cuna de la nacionalidad portuguesa. Visita a pie del centro histórico de la ciudad, donde se pueden admirar sus antiguas murallas, calles estrechas, casas palaciegas, una foto del exterior del castillo y la estatua del fundador D. Afonso Henriques. Salida para Barcelos Visita con puntos destacados como la iglesia de Bom Jesús da Cruz, el centro histórico con la Iglesia Matriz y el puente gótico. Tiempo libre para compras. Regreso a Braga. Llegada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Braga – Oporto –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Oporto. Vista panorámica de Gaia y del rio Duero. Crucero en barco turístico por el río Duero, admirando los barrios típicos y el centro histórico declarado Patrimonio de la Humanidad por la Unesco. Después, tiempo libre. Por la tarde, salida de regreso a Lisboa y llegada.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2025-11-02 Hasta 2026-03-01</w:t>
            </w:r>
          </w:p>
        </w:tc>
        <w:tc>
          <w:tcPr>
            <w:tcW w:w="5000" w:type="pct"/>
          </w:tcPr>
          <w:p>
            <w:pPr/>
            <w:r>
              <w:rPr>
                <w:rFonts w:ascii="Arial" w:hAnsi="Arial" w:eastAsia="Arial" w:cs="Arial"/>
                <w:color w:val="000000"/>
                <w:sz w:val="18"/>
                <w:szCs w:val="18"/>
              </w:rPr>
              <w:t xml:space="preserve">$1044</w:t>
            </w:r>
          </w:p>
        </w:tc>
        <w:tc>
          <w:tcPr>
            <w:tcW w:w="5000" w:type="pct"/>
          </w:tcPr>
          <w:p>
            <w:pPr/>
            <w:r>
              <w:rPr>
                <w:rFonts w:ascii="Arial" w:hAnsi="Arial" w:eastAsia="Arial" w:cs="Arial"/>
                <w:color w:val="000000"/>
                <w:sz w:val="18"/>
                <w:szCs w:val="18"/>
              </w:rPr>
              <w:t xml:space="preserve">$1044</w:t>
            </w:r>
          </w:p>
        </w:tc>
        <w:tc>
          <w:tcPr>
            <w:tcW w:w="5000" w:type="pct"/>
          </w:tcPr>
          <w:p>
            <w:pPr/>
            <w:r>
              <w:rPr>
                <w:rFonts w:ascii="Arial" w:hAnsi="Arial" w:eastAsia="Arial" w:cs="Arial"/>
                <w:color w:val="000000"/>
                <w:sz w:val="18"/>
                <w:szCs w:val="18"/>
              </w:rPr>
              <w:t xml:space="preserve">$1368</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 Roma</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Fátima</w:t>
            </w:r>
          </w:p>
        </w:tc>
        <w:tc>
          <w:tcPr>
            <w:tcW w:w="5000" w:type="pct"/>
          </w:tcPr>
          <w:p>
            <w:pPr/>
            <w:r>
              <w:rPr>
                <w:rFonts w:ascii="Arial" w:hAnsi="Arial" w:eastAsia="Arial" w:cs="Arial"/>
                <w:color w:val="000000"/>
                <w:sz w:val="18"/>
                <w:szCs w:val="18"/>
              </w:rPr>
              <w:t xml:space="preserve">- Santa María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Braga</w:t>
            </w:r>
          </w:p>
        </w:tc>
        <w:tc>
          <w:tcPr>
            <w:tcW w:w="5000" w:type="pct"/>
          </w:tcPr>
          <w:p>
            <w:pPr/>
            <w:r>
              <w:rPr>
                <w:rFonts w:ascii="Arial" w:hAnsi="Arial" w:eastAsia="Arial" w:cs="Arial"/>
                <w:color w:val="000000"/>
                <w:sz w:val="18"/>
                <w:szCs w:val="18"/>
              </w:rPr>
              <w:t xml:space="preserve">- Mercure Braga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Santiago de Compostela</w:t>
            </w:r>
          </w:p>
        </w:tc>
        <w:tc>
          <w:tcPr>
            <w:tcW w:w="5000" w:type="pct"/>
          </w:tcPr>
          <w:p>
            <w:pPr/>
            <w:r>
              <w:rPr>
                <w:rFonts w:ascii="Arial" w:hAnsi="Arial" w:eastAsia="Arial" w:cs="Arial"/>
                <w:color w:val="000000"/>
                <w:sz w:val="18"/>
                <w:szCs w:val="18"/>
              </w:rPr>
              <w:t xml:space="preserve">- Eurostars San Lázaro</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r>
              <w:rPr>
                <w:rFonts w:ascii="Arial" w:hAnsi="Arial" w:eastAsia="Arial" w:cs="Arial"/>
                <w:color w:val="000000"/>
                <w:sz w:val="19.199999999999999289457264239899814128875732421875"/>
                <w:szCs w:val="19.199999999999999289457264239899814128875732421875"/>
              </w:rPr>
              <w:t xml:space="preserve">Debido a la celebración de ferias y congresos, o algún evento especial, podemos sustituir alguno de los hoteles previstos por otro de la misma categoría, incluso en localización diferente a la ciudad indicada en el itinerario.</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Lisboa / Lisboa - México volando en clase turista. </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56E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EAB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tCw6"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2025-07-16T19:36:53-06:00</dcterms:created>
  <dcterms:modified xsi:type="dcterms:W3CDTF">2025-07-16T19:36:53-06:00</dcterms:modified>
</cp:coreProperties>
</file>

<file path=docProps/custom.xml><?xml version="1.0" encoding="utf-8"?>
<Properties xmlns="http://schemas.openxmlformats.org/officeDocument/2006/custom-properties" xmlns:vt="http://schemas.openxmlformats.org/officeDocument/2006/docPropsVTypes"/>
</file>