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Croacia, Eslovenia y Bosnia</w:t>
      </w:r>
    </w:p>
    <w:p>
      <w:pPr>
        <w:jc w:val="start"/>
      </w:pPr>
      <w:r>
        <w:rPr>
          <w:rFonts w:ascii="Arial" w:hAnsi="Arial" w:eastAsia="Arial" w:cs="Arial"/>
          <w:sz w:val="22.5"/>
          <w:szCs w:val="22.5"/>
          <w:b w:val="1"/>
          <w:bCs w:val="1"/>
        </w:rPr>
        <w:t xml:space="preserve">MT-14647  </w:t>
      </w:r>
      <w:r>
        <w:rPr>
          <w:rFonts w:ascii="Arial" w:hAnsi="Arial" w:eastAsia="Arial" w:cs="Arial"/>
          <w:sz w:val="22.5"/>
          <w:szCs w:val="22.5"/>
        </w:rPr>
        <w:t xml:space="preserve">- Web: </w:t>
      </w:r>
      <w:hyperlink r:id="rId7" w:history="1">
        <w:r>
          <w:rPr>
            <w:color w:val="blue"/>
          </w:rPr>
          <w:t xml:space="preserve">https://viaje.mt/aeNtR</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$2089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Eslovenia, Croacia, Bosnia y Herzegovina.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Ljubljana, Zagreb, Plitvice, Zadar, Sibenik, Trogir, Split, Medjugorje, Mostar, Dubrovnik.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Ljubljana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Ljubljana.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Ljubljana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Ljubljana y traslado al hotel. A las 19:00 hrs reunión informativa en la recepción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Ljubljana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recorrido a pie por el centro histórico: Catedral, Puente de los Dragones, etc., así como el conjunto de edificios modernistas realizados por Joze Plecnik. Tiempo libre para almorzar y a primera hora de la tarde, desplazamiento en nuestro autocar hasta la capital de Croacia: Zagreb.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destacando la Catedral con el Palacio del Obispo, la Iglesia de San Marcos, el Teatro Nacional de Croacia y el encanto barroco de la Ciudad Alta con sus pintorescos mercados al aire libre. El centro histórico de la ciudad lo componen tres partes; Kaptol, centro de la iglesia católica, Gradec, con el Parlamento y centro administrativo y por último la Ciudad Baja, corazón comercial.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Zagreb – Plitvice – Zadar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de Plitvice, recorrido a pie y paseo en barco por el lago Kojiak. El parque ha sido declarado Patrimonio de la Humanidad. Por la tarde llegada a Zadar. Visita a pie de la ciudad: Iglesia de San Donato (interior) catedral de Santa Anastasia (exterior), la visita termina en la plaza de los Pozos.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Zadar – Sibenik – Trogir – Split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Sibenik, donde destaca la catedral de Santiago y Trogir, ciudad patrimonio de la humanidad con tiempo libre para visitar su catedral. Por la tarde llegada a Split. Visita a pie de la ciudad que se desarrolló dentro de las murallas del Palacio de Diocleciano. Incluye entrada a los sótanos del Palacio, el Templo de Júpiter y la Catedral.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Split – Medjugorje – Mostar – Dubrovnik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Bosnia Herzegovina. Llegaremos a Medjugorje, el mayor centro de peregrinación de la región de los Balcanes. Breve tiempo libre. Continuación hasta Mostar, conocida por el emblemático Stari Most, un puente medieval de un solo arco que fue reconstruido después de la guerra. Visita panorámica de la ciudad con sus callejuelas repletas de tiendas y puestos, el Museo del Puente Viejo y el alminar de Koski Mehmed-Pasha, desde donde es posible disfrutar de vistas panorámicas de la ciudad. Tiempo libre y continuación hacia Dubrovnik.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Dubrovnik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Visitaremos a pie su centro medieval de inicios del siglo XIV, con entradas Monasterio franciscano con la Farmacia, Monasterio dominico, Palacio del Rector y la Catedral.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Dubrovnik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2025-07-12 Hasta 2025-09-20</w:t>
            </w:r>
          </w:p>
        </w:tc>
        <w:tc>
          <w:tcPr>
            <w:tcW w:w="5000" w:type="pct"/>
          </w:tcPr>
          <w:p>
            <w:pPr/>
            <w:r>
              <w:rPr>
                <w:rFonts w:ascii="Arial" w:hAnsi="Arial" w:eastAsia="Arial" w:cs="Arial"/>
                <w:color w:val="000000"/>
                <w:sz w:val="18"/>
                <w:szCs w:val="18"/>
              </w:rPr>
              <w:t xml:space="preserve">$2172</w:t>
            </w:r>
          </w:p>
        </w:tc>
        <w:tc>
          <w:tcPr>
            <w:tcW w:w="5000" w:type="pct"/>
          </w:tcPr>
          <w:p>
            <w:pPr/>
            <w:r>
              <w:rPr>
                <w:rFonts w:ascii="Arial" w:hAnsi="Arial" w:eastAsia="Arial" w:cs="Arial"/>
                <w:color w:val="000000"/>
                <w:sz w:val="18"/>
                <w:szCs w:val="18"/>
              </w:rPr>
              <w:t xml:space="preserve">$2172</w:t>
            </w:r>
          </w:p>
        </w:tc>
        <w:tc>
          <w:tcPr>
            <w:tcW w:w="5000" w:type="pct"/>
          </w:tcPr>
          <w:p>
            <w:pPr/>
            <w:r>
              <w:rPr>
                <w:rFonts w:ascii="Arial" w:hAnsi="Arial" w:eastAsia="Arial" w:cs="Arial"/>
                <w:color w:val="000000"/>
                <w:sz w:val="18"/>
                <w:szCs w:val="18"/>
              </w:rPr>
              <w:t xml:space="preserve">$2994</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2025-09-27 Hasta 2025-10-04</w:t>
            </w:r>
          </w:p>
        </w:tc>
        <w:tc>
          <w:tcPr>
            <w:tcW w:w="5000" w:type="pct"/>
          </w:tcPr>
          <w:p>
            <w:pPr/>
            <w:r>
              <w:rPr>
                <w:rFonts w:ascii="Arial" w:hAnsi="Arial" w:eastAsia="Arial" w:cs="Arial"/>
                <w:color w:val="000000"/>
                <w:sz w:val="18"/>
                <w:szCs w:val="18"/>
              </w:rPr>
              <w:t xml:space="preserve">$2089</w:t>
            </w:r>
          </w:p>
        </w:tc>
        <w:tc>
          <w:tcPr>
            <w:tcW w:w="5000" w:type="pct"/>
          </w:tcPr>
          <w:p>
            <w:pPr/>
            <w:r>
              <w:rPr>
                <w:rFonts w:ascii="Arial" w:hAnsi="Arial" w:eastAsia="Arial" w:cs="Arial"/>
                <w:color w:val="000000"/>
                <w:sz w:val="18"/>
                <w:szCs w:val="18"/>
              </w:rPr>
              <w:t xml:space="preserve">$2089</w:t>
            </w:r>
          </w:p>
        </w:tc>
        <w:tc>
          <w:tcPr>
            <w:tcW w:w="5000" w:type="pct"/>
          </w:tcPr>
          <w:p>
            <w:pPr/>
            <w:r>
              <w:rPr>
                <w:rFonts w:ascii="Arial" w:hAnsi="Arial" w:eastAsia="Arial" w:cs="Arial"/>
                <w:color w:val="000000"/>
                <w:sz w:val="18"/>
                <w:szCs w:val="18"/>
              </w:rPr>
              <w:t xml:space="preserve">$2844</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Eslovenia</w:t>
            </w:r>
          </w:p>
        </w:tc>
        <w:tc>
          <w:tcPr>
            <w:tcW w:w="5000" w:type="pct"/>
          </w:tcPr>
          <w:p>
            <w:pPr/>
            <w:r>
              <w:rPr>
                <w:rFonts w:ascii="Arial" w:hAnsi="Arial" w:eastAsia="Arial" w:cs="Arial"/>
                <w:color w:val="000000"/>
                <w:sz w:val="18"/>
                <w:szCs w:val="18"/>
              </w:rPr>
              <w:t xml:space="preserve">Ljubljana</w:t>
            </w:r>
          </w:p>
        </w:tc>
        <w:tc>
          <w:tcPr>
            <w:tcW w:w="5000" w:type="pct"/>
          </w:tcPr>
          <w:p>
            <w:pPr/>
            <w:r>
              <w:rPr>
                <w:rFonts w:ascii="Arial" w:hAnsi="Arial" w:eastAsia="Arial" w:cs="Arial"/>
                <w:color w:val="000000"/>
                <w:sz w:val="18"/>
                <w:szCs w:val="18"/>
              </w:rPr>
              <w:t xml:space="preserve">- Radisson Blu</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Zagreb</w:t>
            </w:r>
          </w:p>
        </w:tc>
        <w:tc>
          <w:tcPr>
            <w:tcW w:w="5000" w:type="pct"/>
          </w:tcPr>
          <w:p>
            <w:pPr/>
            <w:r>
              <w:rPr>
                <w:rFonts w:ascii="Arial" w:hAnsi="Arial" w:eastAsia="Arial" w:cs="Arial"/>
                <w:color w:val="000000"/>
                <w:sz w:val="18"/>
                <w:szCs w:val="18"/>
              </w:rPr>
              <w:t xml:space="preserve">- Movenpick</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Zadar</w:t>
            </w:r>
          </w:p>
        </w:tc>
        <w:tc>
          <w:tcPr>
            <w:tcW w:w="5000" w:type="pct"/>
          </w:tcPr>
          <w:p>
            <w:pPr/>
            <w:r>
              <w:rPr>
                <w:rFonts w:ascii="Arial" w:hAnsi="Arial" w:eastAsia="Arial" w:cs="Arial"/>
                <w:color w:val="000000"/>
                <w:sz w:val="18"/>
                <w:szCs w:val="18"/>
              </w:rPr>
              <w:t xml:space="preserve">- Kolovare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Split</w:t>
            </w:r>
          </w:p>
        </w:tc>
        <w:tc>
          <w:tcPr>
            <w:tcW w:w="5000" w:type="pct"/>
          </w:tcPr>
          <w:p>
            <w:pPr/>
            <w:r>
              <w:rPr>
                <w:rFonts w:ascii="Arial" w:hAnsi="Arial" w:eastAsia="Arial" w:cs="Arial"/>
                <w:color w:val="000000"/>
                <w:sz w:val="18"/>
                <w:szCs w:val="18"/>
              </w:rPr>
              <w:t xml:space="preserve">- President Solin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Dubrovnik</w:t>
            </w:r>
          </w:p>
        </w:tc>
        <w:tc>
          <w:tcPr>
            <w:tcW w:w="5000" w:type="pct"/>
          </w:tcPr>
          <w:p>
            <w:pPr/>
            <w:r>
              <w:rPr>
                <w:rFonts w:ascii="Arial" w:hAnsi="Arial" w:eastAsia="Arial" w:cs="Arial"/>
                <w:color w:val="000000"/>
                <w:sz w:val="18"/>
                <w:szCs w:val="18"/>
              </w:rPr>
              <w:t xml:space="preserve">- Grand Hotel Park</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756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45D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Nt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2025-09-03T19:36:56-06:00</dcterms:created>
  <dcterms:modified xsi:type="dcterms:W3CDTF">2025-09-03T19:36:56-06:00</dcterms:modified>
</cp:coreProperties>
</file>

<file path=docProps/custom.xml><?xml version="1.0" encoding="utf-8"?>
<Properties xmlns="http://schemas.openxmlformats.org/officeDocument/2006/custom-properties" xmlns:vt="http://schemas.openxmlformats.org/officeDocument/2006/docPropsVTypes"/>
</file>