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Bellezas de Europa Especial</w:t>
      </w:r>
    </w:p>
    <w:p>
      <w:pPr>
        <w:jc w:val="start"/>
      </w:pPr>
      <w:r>
        <w:rPr>
          <w:rFonts w:ascii="Arial" w:hAnsi="Arial" w:eastAsia="Arial" w:cs="Arial"/>
          <w:sz w:val="22.5"/>
          <w:szCs w:val="22.5"/>
          <w:b w:val="1"/>
          <w:bCs w:val="1"/>
        </w:rPr>
        <w:t xml:space="preserve">MT-16202  </w:t>
      </w:r>
      <w:r>
        <w:rPr>
          <w:rFonts w:ascii="Arial" w:hAnsi="Arial" w:eastAsia="Arial" w:cs="Arial"/>
          <w:sz w:val="22.5"/>
          <w:szCs w:val="22.5"/>
        </w:rPr>
        <w:t xml:space="preserve">- Web: </w:t>
      </w:r>
      <w:hyperlink r:id="rId7" w:history="1">
        <w:r>
          <w:rPr>
            <w:color w:val="blue"/>
          </w:rPr>
          <w:t xml:space="preserve">https://viaje.mt/omroc</w:t>
        </w:r>
      </w:hyperlink>
    </w:p>
    <w:p>
      <w:pPr>
        <w:jc w:val="start"/>
      </w:pPr>
      <w:r>
        <w:rPr>
          <w:rFonts w:ascii="Arial" w:hAnsi="Arial" w:eastAsia="Arial" w:cs="Arial"/>
          <w:sz w:val="22.5"/>
          <w:szCs w:val="22.5"/>
          <w:b w:val="1"/>
          <w:bCs w:val="1"/>
        </w:rPr>
        <w:t xml:space="preserve">19 días y 17 noches</w:t>
      </w:r>
    </w:p>
    <w:p>
      <w:pPr>
        <w:jc w:val="start"/>
      </w:pPr>
    </w:p>
    <w:p>
      <w:pPr>
        <w:jc w:val="center"/>
        <w:spacing w:before="450"/>
      </w:pPr>
      <w:r>
        <w:rPr>
          <w:rFonts w:ascii="Arial" w:hAnsi="Arial" w:eastAsia="Arial" w:cs="Arial"/>
          <w:sz w:val="33"/>
          <w:szCs w:val="33"/>
        </w:rPr>
        <w:t xml:space="preserve">Desde $2599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58536585366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11.218274111675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28.713886300093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Abril:  03,  17</w:t>
            </w:r>
          </w:p>
          <w:p>
            <w:pPr>
              <w:jc w:val="start"/>
              <w:spacing w:before="0" w:after="0" w:line="24" w:lineRule="auto"/>
            </w:pPr>
          </w:p>
          <w:p>
            <w:pPr>
              <w:jc w:val="start"/>
            </w:pPr>
            <w:r>
              <w:rPr>
                <w:rFonts w:ascii="Arial" w:hAnsi="Arial" w:eastAsia="Arial" w:cs="Arial"/>
                <w:sz w:val="18"/>
                <w:szCs w:val="18"/>
              </w:rPr>
              <w:t xml:space="preserve">Junio:  05,  12</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Francia, Bélgica, Holanda, Alemania, República Checa, Eslovaquia, Hungría, Austria.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París, Brujas, Bruselas, Delft, La Haya, Ámsterdam, Berlín, Dresde, Praga, Bratislava, Budapest, Viena, Salzburgo, Múnich, Frankfurt.</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SUJETO A CAMBIOS*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En servicios terrestres no se incluyen los traslados de llegada o salida. Excepción de algunas ciudades. Favor de consultar con su ejecutivo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La realización de los tours opcionales pueden ser en diferentes días y/o sufrir cambios en destino debido a razones operativas, climáticas y/o tráfico. En caso de que el pasajero decida adquirir tours o tickets fuera de nuestros servicios, no podemos responsabilizarnos y/o realizar un reembolso en caso de no ser realizadas.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Tomar vuelo con destino a París.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nuestro trasladista le recibirá en el aeropuerto para llevarle a su hotel.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mantilde;ana, visita panorámica de ldquo;La ciudad del amorrdquo;, donde recorreremos sus lugares más emblemáticos como la Plaza de la Concordia y disfrutar de su espectacular arquitectura, Panteón, Jardín de Luxemburgo, orillas del rio Sena, Palacio Nacional de los Inválidos donde se encuentra la tumba de Napoleón. Acabamos la visita en los Campos de Marte para fotografiar la Torre Eiffel. Resto de la tarde libre o posibilidad de realizar tours opcionales ldquo;París Bohemiordquo; y/o ldquo;Instagram desde Parísrdquo;.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PARíS  -  BRUJAS  -  BRUSELAS  (400 km)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temprano con destino a Brujas, una de las ciudades más pintorescas de Europa, un museo al aire libre hecho de iglesias, casas gremiales y canales famosos, considerado patrimonio de la humanidad y una de las mejores conservadas de la época, nuestro guía nos explicará su importancia histórica en el trayecto, llegada y tiempo libre para explorar esta ciudad o posibilidad de realizar tour opcional ldquo;Magia Medieval en los Canales de Brujasrdquo;. Tiempo libre para almuerzo por su cuenta. A continuación, nos dirigimos a Bruselas, llegada y traslado al hotel. Resto del día libre o posibilidad de realizar tour opcional ldquo;Viviendo Bruselasrdquo;.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BRUSELAS  -  DELFT  -  LA HAYA  -  AMSTERDAM (245 km)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Delft, una de las villas más bonitas de Países Bajos, breve recorrido panorámico y a continuación hacia La Haya, capital administrativa, con breve parada para conocer los edificios que contienen distintos organismos del gobierno holandés. Posibilidad de realizar tour opcional ldquo;Crucero por los Canales iluminados de ámsterdamrdquo;. Traslado a hotel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áMSTERDAM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visita panorámica a la ciudad más bella y romántica de Europa llamada también ldquo;la Venecia del Norterdquo;, llena de coloridas casas, canales y puentes donde se combina la belleza y la cultura. Podremos visitar un centro de los talleres de tallado de diamantes, admirar su arquitectura barroca del siglo XVI y XVII, entre los que destaca el antiguo Ayuntamiento y Nieuwe Kerk. Tiempo libre o posibilidad de realizar tours opcionales. ldquo;Excusión a Marken y Voledamrdquo;.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áMSTERDAM  -  BERLíN (660 km)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por la autopista para adentrarnos en Alemania, y llegar a su capital monumental ciudad de Berlín, símbolo de la reunificación alemana que aún conserva signo de su reciente pasado de postguerra, y que se ha convertido en un importante centro cosmopolita que marca tendencia. Llegada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BERLíN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visita panorámica de la ciudad, para familiarizarse con la cultura e historia que alberga cada uno de sus monumentos como la Puerta de Brandeburgo, Parlamento, Reichstag, Postdamer Platz, Alexanderplatz, avenida Kurfusterdamn y los restos del muro que dividía la ciudad hasta 1989. Tarde libre o posibilidad de realizar tour opcional ldquo;Viviendo Berlín con Barrio Judíordquo;.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BERLíN  -  DRESDE  -  PRAGA (342 KM)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la región de Sajonia para llegar a su antigua capital Dresde, a orillas del Rio Elba, capital de la cultura germánica, que fue reconstruida tras los bombardeos de la II Guerra Mundial. Tiempo libre, para disfrutar de la ciudad o posibilidad de realizar tour opcional ldquo;Viviendo Dresderdquo;. Continuación hacia la República Checa para llegar a la ciudad de Praga.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PRAGA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visita panorámica recorriendo la Plaza Vieja, el famoso reloj Astronómico que funciona desde 1410, cuya atracción son sus tres principales componentes; cuadrante astronómico, figuras animadas de los 12 apóstoles y calendario circular. Recorrido por Malá Strana para conocer la Iglesia de Santa María de la Victoria, el gran edificio de la Opera, la Plaza y Torre Wenceslao, el Puente Carlos y las vistas sobre el río Moldava y la Colina del Castillo. Tiempo libre o posibilidad de realizar tours opcionales ldquo;Viviendo Pragardquo; y/o ldquo;Instagram desde Pragardquo;.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PRAGA  -  BRATISLAVA  -  BUDAPEST (530 KM)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la capital Bratislava. Breve parada para conocer la bella capital de Eslovaquia, ciudad bantilde;ada por el Danubio, tiempo libre para recorrer sus pequentilde;as calles, descubrir sus famosas esculturas populares y admirar su famoso Castillo. Continuación del viaje hacia Budapest. Posibilidad de realizar tour opcional ldquo;Buda y Crucero por el Danubiordquo;. Llegada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BUDAPEST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visitar una de las ciudades más bellas de Europa, dividida en dos partes por el Rio Danubio. Recorrido de Pest, famosa por sus bulevares, teatro de la Opera, Parlamento Húngaro, Sinagoga y Basílica de San Esteban. Tarde libre para poder conocer las maravillas de esta ciudad o posibilidad de realizar tour opcional ldquo;Cena Húngara con Show Folclóricordquo;.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BUDAPEST  -  VIENA (243 KM)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Continuamos ruta a una ciudad con un legado artístico e intelectual que se formó gracias a sus pobladores, Viena. Recorrido por la ciudad con la avenida Ringstrasse, con multitud de edificios históricos como el Palacio de Belvedere, la Opera, el Palacio Real, Ayuntamiento, Iglesia Votiva, Canal del Danubio, pasamos por la Prater con la emblemática Noria. Tiempo libre o posibilidad de realizar tour opcional ldquo;Sinfonía en el Palacio de Schonbrunnrdquo;.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VIENA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disfrutar Viena o posibilidad de realizar tour opcional ldquo;La Viena de Sisi Emperatrizrdquo;.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VIENA  -  SALZBURGO  -  MúNICH (440 KM)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Salzburgo la ciudad más bonita de Austria, visita panorámica por la ciudad y después tiempo libre (almuerzo no incluido). Continuación hacia Múnich. Llegada al hotel. Tiempo libre o posibilidad de realizar tour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16   MúNICH</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Salimos para conocer Múnich. La primera parada es para conocer el Parque Inglés, con el recinto de los juegos Olímpicos y el exterior del museo BMW. Pasamos por el grandioso palacio Nymphenburg y seguimos al centro histórico para recorrer a pie la zona de Marienplatz donde sorprenden el Rathaus y la Iglesia de Nuestra Sentilde;ora con su belleza. Resto del día libre o posibilidad de realizar el tour opcional ldquo;Castillo del Rey Locordquo;. Llegada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17 MúNICH  -  FRANKFURT (392 KM)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hacia Frankfurt. Tiempo libre para compras. Llegada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18  FRANKFURT  -  PARíS (572 KM)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Francia. Llegada, tarde libre para compras y disfrutar de las últimas horas en la Ciudad de la Luz.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19  PARíS-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prevista traslado al aeropuerto para tomar el vuelo de regreso a su ciudad de origen.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b w:val="1"/>
                <w:bCs w:val="1"/>
              </w:rPr>
              <w:t xml:space="preserve">Menor B</w:t>
            </w:r>
          </w:p>
        </w:tc>
        <w:tc>
          <w:tcPr>
            <w:tcW w:w="5000" w:type="pct"/>
          </w:tcPr>
          <w:p>
            <w:pPr/>
            <w:r>
              <w:rPr>
                <w:rFonts w:ascii="Arial" w:hAnsi="Arial" w:eastAsia="Arial" w:cs="Arial"/>
                <w:color w:val="000000"/>
                <w:sz w:val="18"/>
                <w:szCs w:val="18"/>
                <w:b w:val="1"/>
                <w:bCs w:val="1"/>
              </w:rPr>
              <w:t xml:space="preserve">Menor A</w:t>
            </w:r>
          </w:p>
        </w:tc>
        <w:tc>
          <w:tcPr>
            <w:tcW w:w="5000" w:type="pct"/>
          </w:tcPr>
          <w:p>
            <w:pPr/>
            <w:r>
              <w:rPr>
                <w:rFonts w:ascii="Arial" w:hAnsi="Arial" w:eastAsia="Arial" w:cs="Arial"/>
                <w:color w:val="000000"/>
                <w:sz w:val="18"/>
                <w:szCs w:val="18"/>
                <w:b w:val="1"/>
                <w:bCs w:val="1"/>
              </w:rPr>
              <w:t xml:space="preserve">Infante</w:t>
            </w:r>
          </w:p>
        </w:tc>
        <w:tc>
          <w:tcPr>
            <w:tcW w:w="5000" w:type="pct"/>
          </w:tcPr>
          <w:p>
            <w:pPr/>
            <w:r>
              <w:rPr>
                <w:rFonts w:ascii="Arial" w:hAnsi="Arial" w:eastAsia="Arial" w:cs="Arial"/>
                <w:color w:val="000000"/>
                <w:sz w:val="18"/>
                <w:szCs w:val="18"/>
                <w:b w:val="1"/>
                <w:bCs w:val="1"/>
              </w:rPr>
              <w:t xml:space="preserve">Sencilla</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Triple</w:t>
            </w:r>
          </w:p>
        </w:tc>
      </w:tr>
      <w:tr>
        <w:trPr/>
        <w:tc>
          <w:tcPr>
            <w:tcW w:w="5000" w:type="pct"/>
          </w:tcPr>
          <w:p>
            <w:pPr/>
            <w:r>
              <w:rPr>
                <w:rFonts w:ascii="Arial" w:hAnsi="Arial" w:eastAsia="Arial" w:cs="Arial"/>
                <w:color w:val="000000"/>
                <w:sz w:val="18"/>
                <w:szCs w:val="18"/>
              </w:rPr>
              <w:t xml:space="preserve">$ 2299</w:t>
            </w:r>
          </w:p>
        </w:tc>
        <w:tc>
          <w:tcPr>
            <w:tcW w:w="5000" w:type="pct"/>
          </w:tcPr>
          <w:p>
            <w:pPr/>
            <w:r>
              <w:rPr>
                <w:rFonts w:ascii="Arial" w:hAnsi="Arial" w:eastAsia="Arial" w:cs="Arial"/>
                <w:color w:val="000000"/>
                <w:sz w:val="18"/>
                <w:szCs w:val="18"/>
              </w:rPr>
              <w:t xml:space="preserve">$ 1999</w:t>
            </w:r>
          </w:p>
        </w:tc>
        <w:tc>
          <w:tcPr>
            <w:tcW w:w="5000" w:type="pct"/>
          </w:tcPr>
          <w:p>
            <w:pPr/>
            <w:r>
              <w:rPr>
                <w:rFonts w:ascii="Arial" w:hAnsi="Arial" w:eastAsia="Arial" w:cs="Arial"/>
                <w:color w:val="000000"/>
                <w:sz w:val="18"/>
                <w:szCs w:val="18"/>
              </w:rPr>
              <w:t xml:space="preserve">$ 399</w:t>
            </w:r>
          </w:p>
        </w:tc>
        <w:tc>
          <w:tcPr>
            <w:tcW w:w="5000" w:type="pct"/>
          </w:tcPr>
          <w:p>
            <w:pPr/>
            <w:r>
              <w:rPr>
                <w:rFonts w:ascii="Arial" w:hAnsi="Arial" w:eastAsia="Arial" w:cs="Arial"/>
                <w:color w:val="000000"/>
                <w:sz w:val="18"/>
                <w:szCs w:val="18"/>
              </w:rPr>
              <w:t xml:space="preserve">$ 4099</w:t>
            </w:r>
          </w:p>
        </w:tc>
        <w:tc>
          <w:tcPr>
            <w:tcW w:w="5000" w:type="pct"/>
          </w:tcPr>
          <w:p>
            <w:pPr/>
            <w:r>
              <w:rPr>
                <w:rFonts w:ascii="Arial" w:hAnsi="Arial" w:eastAsia="Arial" w:cs="Arial"/>
                <w:color w:val="000000"/>
                <w:sz w:val="18"/>
                <w:szCs w:val="18"/>
              </w:rPr>
              <w:t xml:space="preserve">$ 2599</w:t>
            </w:r>
          </w:p>
        </w:tc>
        <w:tc>
          <w:tcPr>
            <w:tcW w:w="5000" w:type="pct"/>
          </w:tcPr>
          <w:p>
            <w:pPr/>
            <w:r>
              <w:rPr>
                <w:rFonts w:ascii="Arial" w:hAnsi="Arial" w:eastAsia="Arial" w:cs="Arial"/>
                <w:color w:val="000000"/>
                <w:sz w:val="18"/>
                <w:szCs w:val="18"/>
              </w:rPr>
              <w:t xml:space="preserve">$ 2599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Abril: 3, 17</w:t>
            </w:r>
          </w:p>
        </w:tc>
        <w:tc>
          <w:tcPr>
            <w:tcW w:w="5000" w:type="pct"/>
          </w:tcPr>
          <w:p>
            <w:pPr/>
            <w:r>
              <w:rPr>
                <w:rFonts w:ascii="Arial" w:hAnsi="Arial" w:eastAsia="Arial" w:cs="Arial"/>
                <w:color w:val="000000"/>
                <w:sz w:val="18"/>
                <w:szCs w:val="18"/>
              </w:rPr>
              <w:t xml:space="preserve">$ 499</w:t>
            </w:r>
          </w:p>
        </w:tc>
      </w:tr>
      <w:tr>
        <w:trPr/>
        <w:tc>
          <w:tcPr>
            <w:tcW w:w="5000" w:type="pct"/>
          </w:tcPr>
          <w:p>
            <w:pPr/>
            <w:r>
              <w:rPr>
                <w:rFonts w:ascii="Arial" w:hAnsi="Arial" w:eastAsia="Arial" w:cs="Arial"/>
                <w:color w:val="000000"/>
                <w:sz w:val="18"/>
                <w:szCs w:val="18"/>
              </w:rPr>
              <w:t xml:space="preserve">Junio: 5</w:t>
            </w:r>
          </w:p>
        </w:tc>
        <w:tc>
          <w:tcPr>
            <w:tcW w:w="5000" w:type="pct"/>
          </w:tcPr>
          <w:p>
            <w:pPr/>
            <w:r>
              <w:rPr>
                <w:rFonts w:ascii="Arial" w:hAnsi="Arial" w:eastAsia="Arial" w:cs="Arial"/>
                <w:color w:val="000000"/>
                <w:sz w:val="18"/>
                <w:szCs w:val="18"/>
              </w:rPr>
              <w:t xml:space="preserve">$ 299</w:t>
            </w:r>
          </w:p>
        </w:tc>
      </w:tr>
      <w:tr>
        <w:trPr/>
        <w:tc>
          <w:tcPr>
            <w:tcW w:w="5000" w:type="pct"/>
          </w:tcPr>
          <w:p>
            <w:pPr/>
            <w:r>
              <w:rPr>
                <w:rFonts w:ascii="Arial" w:hAnsi="Arial" w:eastAsia="Arial" w:cs="Arial"/>
                <w:color w:val="000000"/>
                <w:sz w:val="18"/>
                <w:szCs w:val="18"/>
              </w:rPr>
              <w:t xml:space="preserve">Junio: 12</w:t>
            </w:r>
          </w:p>
        </w:tc>
        <w:tc>
          <w:tcPr>
            <w:tcW w:w="5000" w:type="pct"/>
          </w:tcPr>
          <w:p>
            <w:pPr/>
            <w:r>
              <w:rPr>
                <w:rFonts w:ascii="Arial" w:hAnsi="Arial" w:eastAsia="Arial" w:cs="Arial"/>
                <w:color w:val="000000"/>
                <w:sz w:val="18"/>
                <w:szCs w:val="18"/>
              </w:rPr>
              <w:t xml:space="preserve">$ 399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Paris</w:t>
            </w:r>
          </w:p>
        </w:tc>
        <w:tc>
          <w:tcPr>
            <w:tcW w:w="5000" w:type="pct"/>
          </w:tcPr>
          <w:p>
            <w:pPr/>
            <w:r>
              <w:rPr>
                <w:rFonts w:ascii="Arial" w:hAnsi="Arial" w:eastAsia="Arial" w:cs="Arial"/>
                <w:color w:val="000000"/>
                <w:sz w:val="18"/>
                <w:szCs w:val="18"/>
              </w:rPr>
              <w:t xml:space="preserve">H4 Hotel Wyndham Paris Pleyel Resort</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Belgica</w:t>
            </w:r>
          </w:p>
        </w:tc>
        <w:tc>
          <w:tcPr>
            <w:tcW w:w="5000" w:type="pct"/>
          </w:tcPr>
          <w:p>
            <w:pPr/>
            <w:r>
              <w:rPr>
                <w:rFonts w:ascii="Arial" w:hAnsi="Arial" w:eastAsia="Arial" w:cs="Arial"/>
                <w:color w:val="000000"/>
                <w:sz w:val="18"/>
                <w:szCs w:val="18"/>
              </w:rPr>
              <w:t xml:space="preserve">Bruselas</w:t>
            </w:r>
          </w:p>
        </w:tc>
        <w:tc>
          <w:tcPr>
            <w:tcW w:w="5000" w:type="pct"/>
          </w:tcPr>
          <w:p>
            <w:pPr/>
            <w:r>
              <w:rPr>
                <w:rFonts w:ascii="Arial" w:hAnsi="Arial" w:eastAsia="Arial" w:cs="Arial"/>
                <w:color w:val="000000"/>
                <w:sz w:val="18"/>
                <w:szCs w:val="18"/>
              </w:rPr>
              <w:t xml:space="preserve">Des Colonies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Paises Bajos</w:t>
            </w:r>
          </w:p>
        </w:tc>
        <w:tc>
          <w:tcPr>
            <w:tcW w:w="5000" w:type="pct"/>
          </w:tcPr>
          <w:p>
            <w:pPr/>
            <w:r>
              <w:rPr>
                <w:rFonts w:ascii="Arial" w:hAnsi="Arial" w:eastAsia="Arial" w:cs="Arial"/>
                <w:color w:val="000000"/>
                <w:sz w:val="18"/>
                <w:szCs w:val="18"/>
              </w:rPr>
              <w:t xml:space="preserve">Amsterdam</w:t>
            </w:r>
          </w:p>
        </w:tc>
        <w:tc>
          <w:tcPr>
            <w:tcW w:w="5000" w:type="pct"/>
          </w:tcPr>
          <w:p>
            <w:pPr/>
            <w:r>
              <w:rPr>
                <w:rFonts w:ascii="Arial" w:hAnsi="Arial" w:eastAsia="Arial" w:cs="Arial"/>
                <w:color w:val="000000"/>
                <w:sz w:val="18"/>
                <w:szCs w:val="18"/>
              </w:rPr>
              <w:t xml:space="preserve">Leonardo Royal Amsterdam South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Alemania</w:t>
            </w:r>
          </w:p>
        </w:tc>
        <w:tc>
          <w:tcPr>
            <w:tcW w:w="5000" w:type="pct"/>
          </w:tcPr>
          <w:p>
            <w:pPr/>
            <w:r>
              <w:rPr>
                <w:rFonts w:ascii="Arial" w:hAnsi="Arial" w:eastAsia="Arial" w:cs="Arial"/>
                <w:color w:val="000000"/>
                <w:sz w:val="18"/>
                <w:szCs w:val="18"/>
              </w:rPr>
              <w:t xml:space="preserve">Berlin</w:t>
            </w:r>
          </w:p>
        </w:tc>
        <w:tc>
          <w:tcPr>
            <w:tcW w:w="5000" w:type="pct"/>
          </w:tcPr>
          <w:p>
            <w:pPr/>
            <w:r>
              <w:rPr>
                <w:rFonts w:ascii="Arial" w:hAnsi="Arial" w:eastAsia="Arial" w:cs="Arial"/>
                <w:color w:val="000000"/>
                <w:sz w:val="18"/>
                <w:szCs w:val="18"/>
              </w:rPr>
              <w:t xml:space="preserve">Park Inn By Radisson Berlin Alexanderplatz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Republica Checa</w:t>
            </w:r>
          </w:p>
        </w:tc>
        <w:tc>
          <w:tcPr>
            <w:tcW w:w="5000" w:type="pct"/>
          </w:tcPr>
          <w:p>
            <w:pPr/>
            <w:r>
              <w:rPr>
                <w:rFonts w:ascii="Arial" w:hAnsi="Arial" w:eastAsia="Arial" w:cs="Arial"/>
                <w:color w:val="000000"/>
                <w:sz w:val="18"/>
                <w:szCs w:val="18"/>
              </w:rPr>
              <w:t xml:space="preserve">Praga</w:t>
            </w:r>
          </w:p>
        </w:tc>
        <w:tc>
          <w:tcPr>
            <w:tcW w:w="5000" w:type="pct"/>
          </w:tcPr>
          <w:p>
            <w:pPr/>
            <w:r>
              <w:rPr>
                <w:rFonts w:ascii="Arial" w:hAnsi="Arial" w:eastAsia="Arial" w:cs="Arial"/>
                <w:color w:val="000000"/>
                <w:sz w:val="18"/>
                <w:szCs w:val="18"/>
              </w:rPr>
              <w:t xml:space="preserve">Occidental Praha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Hungria</w:t>
            </w:r>
          </w:p>
        </w:tc>
        <w:tc>
          <w:tcPr>
            <w:tcW w:w="5000" w:type="pct"/>
          </w:tcPr>
          <w:p>
            <w:pPr/>
            <w:r>
              <w:rPr>
                <w:rFonts w:ascii="Arial" w:hAnsi="Arial" w:eastAsia="Arial" w:cs="Arial"/>
                <w:color w:val="000000"/>
                <w:sz w:val="18"/>
                <w:szCs w:val="18"/>
              </w:rPr>
              <w:t xml:space="preserve">Budapest</w:t>
            </w:r>
          </w:p>
        </w:tc>
        <w:tc>
          <w:tcPr>
            <w:tcW w:w="5000" w:type="pct"/>
          </w:tcPr>
          <w:p>
            <w:pPr/>
            <w:r>
              <w:rPr>
                <w:rFonts w:ascii="Arial" w:hAnsi="Arial" w:eastAsia="Arial" w:cs="Arial"/>
                <w:color w:val="000000"/>
                <w:sz w:val="18"/>
                <w:szCs w:val="18"/>
              </w:rPr>
              <w:t xml:space="preserve">Nh Budapest City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Austria</w:t>
            </w:r>
          </w:p>
        </w:tc>
        <w:tc>
          <w:tcPr>
            <w:tcW w:w="5000" w:type="pct"/>
          </w:tcPr>
          <w:p>
            <w:pPr/>
            <w:r>
              <w:rPr>
                <w:rFonts w:ascii="Arial" w:hAnsi="Arial" w:eastAsia="Arial" w:cs="Arial"/>
                <w:color w:val="000000"/>
                <w:sz w:val="18"/>
                <w:szCs w:val="18"/>
              </w:rPr>
              <w:t xml:space="preserve">Viena</w:t>
            </w:r>
          </w:p>
        </w:tc>
        <w:tc>
          <w:tcPr>
            <w:tcW w:w="5000" w:type="pct"/>
          </w:tcPr>
          <w:p>
            <w:pPr/>
            <w:r>
              <w:rPr>
                <w:rFonts w:ascii="Arial" w:hAnsi="Arial" w:eastAsia="Arial" w:cs="Arial"/>
                <w:color w:val="000000"/>
                <w:sz w:val="18"/>
                <w:szCs w:val="18"/>
              </w:rPr>
              <w:t xml:space="preserve">Rainers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Alemania</w:t>
            </w:r>
          </w:p>
        </w:tc>
        <w:tc>
          <w:tcPr>
            <w:tcW w:w="5000" w:type="pct"/>
          </w:tcPr>
          <w:p>
            <w:pPr/>
            <w:r>
              <w:rPr>
                <w:rFonts w:ascii="Arial" w:hAnsi="Arial" w:eastAsia="Arial" w:cs="Arial"/>
                <w:color w:val="000000"/>
                <w:sz w:val="18"/>
                <w:szCs w:val="18"/>
              </w:rPr>
              <w:t xml:space="preserve">Munich</w:t>
            </w:r>
          </w:p>
        </w:tc>
        <w:tc>
          <w:tcPr>
            <w:tcW w:w="5000" w:type="pct"/>
          </w:tcPr>
          <w:p>
            <w:pPr/>
            <w:r>
              <w:rPr>
                <w:rFonts w:ascii="Arial" w:hAnsi="Arial" w:eastAsia="Arial" w:cs="Arial"/>
                <w:color w:val="000000"/>
                <w:sz w:val="18"/>
                <w:szCs w:val="18"/>
              </w:rPr>
              <w:t xml:space="preserve">Grand Hotel Palladium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Suiza</w:t>
            </w:r>
          </w:p>
        </w:tc>
        <w:tc>
          <w:tcPr>
            <w:tcW w:w="5000" w:type="pct"/>
          </w:tcPr>
          <w:p>
            <w:pPr/>
            <w:r>
              <w:rPr>
                <w:rFonts w:ascii="Arial" w:hAnsi="Arial" w:eastAsia="Arial" w:cs="Arial"/>
                <w:color w:val="000000"/>
                <w:sz w:val="18"/>
                <w:szCs w:val="18"/>
              </w:rPr>
              <w:t xml:space="preserve">Zurich</w:t>
            </w:r>
          </w:p>
        </w:tc>
        <w:tc>
          <w:tcPr>
            <w:tcW w:w="5000" w:type="pct"/>
          </w:tcPr>
          <w:p>
            <w:pPr/>
            <w:r>
              <w:rPr>
                <w:rFonts w:ascii="Arial" w:hAnsi="Arial" w:eastAsia="Arial" w:cs="Arial"/>
                <w:color w:val="000000"/>
                <w:sz w:val="18"/>
                <w:szCs w:val="18"/>
              </w:rPr>
              <w:t xml:space="preserve">Intercityhotel Frankfurt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Alemania</w:t>
            </w:r>
          </w:p>
        </w:tc>
        <w:tc>
          <w:tcPr>
            <w:tcW w:w="5000" w:type="pct"/>
          </w:tcPr>
          <w:p>
            <w:pPr/>
            <w:r>
              <w:rPr>
                <w:rFonts w:ascii="Arial" w:hAnsi="Arial" w:eastAsia="Arial" w:cs="Arial"/>
                <w:color w:val="000000"/>
                <w:sz w:val="18"/>
                <w:szCs w:val="18"/>
              </w:rPr>
              <w:t xml:space="preserve">Frankfurt</w:t>
            </w:r>
          </w:p>
        </w:tc>
        <w:tc>
          <w:tcPr>
            <w:tcW w:w="5000" w:type="pct"/>
          </w:tcPr>
          <w:p>
            <w:pPr/>
            <w:r>
              <w:rPr>
                <w:rFonts w:ascii="Arial" w:hAnsi="Arial" w:eastAsia="Arial" w:cs="Arial"/>
                <w:color w:val="000000"/>
                <w:sz w:val="18"/>
                <w:szCs w:val="18"/>
              </w:rPr>
              <w:t xml:space="preserve">H4 Hotel Wyndham Paris Pleyel Resort</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Paris</w:t>
            </w:r>
          </w:p>
        </w:tc>
        <w:tc>
          <w:tcPr>
            <w:tcW w:w="5000" w:type="pct"/>
          </w:tcPr>
          <w:p>
            <w:pPr/>
            <w:r>
              <w:rPr>
                <w:rFonts w:ascii="Arial" w:hAnsi="Arial" w:eastAsia="Arial" w:cs="Arial"/>
                <w:color w:val="000000"/>
                <w:sz w:val="18"/>
                <w:szCs w:val="18"/>
              </w:rPr>
              <w:t xml:space="preserve">H4 Hotel Wyndham Paris Pleyel Resort</w:t>
            </w:r>
          </w:p>
        </w:tc>
        <w:tc>
          <w:tcPr>
            <w:tcW w:w="5000" w:type="pct"/>
          </w:tcPr>
          <w:p>
            <w:pPr/>
            <w:r>
              <w:rPr>
                <w:rFonts w:ascii="Arial" w:hAnsi="Arial" w:eastAsia="Arial" w:cs="Arial"/>
                <w:color w:val="000000"/>
                <w:sz w:val="18"/>
                <w:szCs w:val="18"/>
              </w:rPr>
              <w:t xml:space="preserve">Primera</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PARIS – MÉXICO, VOLANDO EN CLASE TURISTA </w:t>
      </w:r>
    </w:p>
    <w:p>
      <w:pPr>
        <w:jc w:val="start"/>
      </w:pPr>
      <w:r>
        <w:rPr>
          <w:rFonts w:ascii="Arial" w:hAnsi="Arial" w:eastAsia="Arial" w:cs="Arial"/>
          <w:sz w:val="18"/>
          <w:szCs w:val="18"/>
        </w:rPr>
        <w:t xml:space="preserve">  ● TRASLADOS DE LLEGADA Y SALIDA, DESDE LOS AEROPUERTOS INTERNACIONALES.</w:t>
      </w:r>
    </w:p>
    <w:p>
      <w:pPr>
        <w:jc w:val="start"/>
      </w:pPr>
      <w:r>
        <w:rPr>
          <w:rFonts w:ascii="Arial" w:hAnsi="Arial" w:eastAsia="Arial" w:cs="Arial"/>
          <w:sz w:val="18"/>
          <w:szCs w:val="18"/>
        </w:rPr>
        <w:t xml:space="preserve">  ● AUTOBÚS CONFORTABLE Y MODERNO</w:t>
      </w:r>
    </w:p>
    <w:p>
      <w:pPr>
        <w:jc w:val="start"/>
      </w:pPr>
      <w:r>
        <w:rPr>
          <w:rFonts w:ascii="Arial" w:hAnsi="Arial" w:eastAsia="Arial" w:cs="Arial"/>
          <w:sz w:val="18"/>
          <w:szCs w:val="18"/>
        </w:rPr>
        <w:t xml:space="preserve">  ● 17 NOCHES DE ALOJAMIENTO EN CATEGORÍA INDICADA </w:t>
      </w:r>
    </w:p>
    <w:p>
      <w:pPr>
        <w:jc w:val="start"/>
      </w:pPr>
      <w:r>
        <w:rPr>
          <w:rFonts w:ascii="Arial" w:hAnsi="Arial" w:eastAsia="Arial" w:cs="Arial"/>
          <w:sz w:val="18"/>
          <w:szCs w:val="18"/>
        </w:rPr>
        <w:t xml:space="preserve">  ● DESAYUNOS, DIARIOS </w:t>
      </w:r>
    </w:p>
    <w:p>
      <w:pPr>
        <w:jc w:val="start"/>
      </w:pPr>
      <w:r>
        <w:rPr>
          <w:rFonts w:ascii="Arial" w:hAnsi="Arial" w:eastAsia="Arial" w:cs="Arial"/>
          <w:sz w:val="18"/>
          <w:szCs w:val="18"/>
        </w:rPr>
        <w:t xml:space="preserve">  ● VISITAS PANORÁMICAS DE LA CIUDAD DE ACUERDO CON EL ITINERARIO.</w:t>
      </w:r>
    </w:p>
    <w:p>
      <w:pPr>
        <w:jc w:val="start"/>
      </w:pPr>
      <w:r>
        <w:rPr>
          <w:rFonts w:ascii="Arial" w:hAnsi="Arial" w:eastAsia="Arial" w:cs="Arial"/>
          <w:sz w:val="18"/>
          <w:szCs w:val="18"/>
        </w:rPr>
        <w:t xml:space="preserve">  ● GUÍAS ACOMPAÑANTES DURANTE EL VIAJE</w:t>
      </w:r>
    </w:p>
    <w:p>
      <w:pPr>
        <w:jc w:val="start"/>
      </w:pPr>
      <w:r>
        <w:rPr>
          <w:rFonts w:ascii="Arial" w:hAnsi="Arial" w:eastAsia="Arial" w:cs="Arial"/>
          <w:sz w:val="18"/>
          <w:szCs w:val="18"/>
        </w:rPr>
        <w:t xml:space="preserve">  ● GUÍAS LOCALES EN LAS PRINCIPALES CIUDADES </w:t>
      </w:r>
    </w:p>
    <w:p>
      <w:pPr>
        <w:jc w:val="start"/>
      </w:pPr>
      <w:r>
        <w:rPr>
          <w:rFonts w:ascii="Arial" w:hAnsi="Arial" w:eastAsia="Arial" w:cs="Arial"/>
          <w:sz w:val="18"/>
          <w:szCs w:val="18"/>
        </w:rPr>
        <w:t xml:space="preserve">  ● TARJETA DE ASISTENCIA TURÍSTICA BÁSICA*</w:t>
      </w:r>
    </w:p>
    <w:p>
      <w:pPr>
        <w:jc w:val="start"/>
      </w:pPr>
      <w:r>
        <w:rPr>
          <w:rFonts w:ascii="Arial" w:hAnsi="Arial" w:eastAsia="Arial" w:cs="Arial"/>
          <w:sz w:val="18"/>
          <w:szCs w:val="18"/>
        </w:rPr>
        <w:t xml:space="preserve">  ● *CONSULTE MONTOS DE COBERTURA Y SI DESEA AMPLIARLA LOS SUPLEMENTOS CORRESPONDIENTES.</w:t>
      </w:r>
    </w:p>
    <w:p>
      <w:pPr>
        <w:jc w:val="start"/>
      </w:pPr>
      <w:r>
        <w:rPr>
          <w:rFonts w:ascii="Arial" w:hAnsi="Arial" w:eastAsia="Arial" w:cs="Arial"/>
          <w:sz w:val="18"/>
          <w:szCs w:val="18"/>
        </w:rPr>
        <w:t xml:space="preserve">  ● NUESTROS PRECIOS INCLUYEN TODAS LAS TASAS DE ALOJAMIENTO.</w:t>
      </w:r>
    </w:p>
    <w:p>
      <w:pPr>
        <w:jc w:val="start"/>
      </w:pPr>
      <w:r>
        <w:rPr>
          <w:rFonts w:ascii="Arial" w:hAnsi="Arial" w:eastAsia="Arial" w:cs="Arial"/>
          <w:sz w:val="18"/>
          <w:szCs w:val="18"/>
        </w:rPr>
        <w:t xml:space="preserve">  ● ASISTENCIA 24HRS ANTES Y DURANTE SU VIAJE.</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SERVICIOS NO ESPECIFICADOS EXCURSIONES SERVICIOS Y ALIMENTOS QUE SE MARCAN COMO OPCIONALES. </w:t>
      </w:r>
    </w:p>
    <w:p>
      <w:pPr>
        <w:jc w:val="start"/>
      </w:pPr>
      <w:r>
        <w:rPr>
          <w:rFonts w:ascii="Arial" w:hAnsi="Arial" w:eastAsia="Arial" w:cs="Arial"/>
          <w:sz w:val="18"/>
          <w:szCs w:val="18"/>
        </w:rPr>
        <w:t xml:space="preserve">  ● GASTOS PERSONALES.</w:t>
      </w:r>
    </w:p>
    <w:p>
      <w:pPr>
        <w:jc w:val="start"/>
      </w:pPr>
      <w:r>
        <w:rPr>
          <w:rFonts w:ascii="Arial" w:hAnsi="Arial" w:eastAsia="Arial" w:cs="Arial"/>
          <w:sz w:val="18"/>
          <w:szCs w:val="18"/>
        </w:rPr>
        <w:t xml:space="preserve">  ● PROPINAS A GUIAS Y CHOFERES.</w:t>
      </w:r>
    </w:p>
    <w:p>
      <w:pPr>
        <w:jc w:val="start"/>
      </w:pPr>
      <w:r>
        <w:rPr>
          <w:rFonts w:ascii="Arial" w:hAnsi="Arial" w:eastAsia="Arial" w:cs="Arial"/>
          <w:sz w:val="18"/>
          <w:szCs w:val="18"/>
        </w:rPr>
        <w:t xml:space="preserve">  ● EL SEGURO TURÍSTICO INCLUIDO TIENE UNA COBERTURA MÍNIMA PARA EUROPA </w:t>
      </w:r>
    </w:p>
    <w:p>
      <w:pPr>
        <w:jc w:val="start"/>
      </w:pPr>
      <w:r>
        <w:rPr>
          <w:rFonts w:ascii="Arial" w:hAnsi="Arial" w:eastAsia="Arial" w:cs="Arial"/>
          <w:sz w:val="18"/>
          <w:szCs w:val="18"/>
        </w:rPr>
        <w:t xml:space="preserve">  ● SI USTED LO REQUIERE PUEDE COMPRAR UN SEGURO DE MAYOR COBERTURA, PREGUNTE A SU AGENTE DE VIAJES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Itinerario sujeto a cambio, de acuerdo a su fecha de salida.</w:t>
      </w:r>
    </w:p>
    <w:p>
      <w:pPr>
        <w:jc w:val="start"/>
      </w:pPr>
      <w:r>
        <w:rPr>
          <w:rFonts w:ascii="Arial" w:hAnsi="Arial" w:eastAsia="Arial" w:cs="Arial"/>
          <w:sz w:val="18"/>
          <w:szCs w:val="18"/>
        </w:rPr>
        <w:t xml:space="preserve">En servicios terrestres no se incluyen los traslados de llegada o salida. Excepción de algunas ciudades. Favor de consultar con su ejecutivo.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 TOURS OPCIONALES</w:t>
      </w:r>
    </w:p>
    <w:p>
      <w:pPr>
        <w:jc w:val="start"/>
      </w:pPr>
      <w:r>
        <w:rPr>
          <w:rFonts w:ascii="Arial" w:hAnsi="Arial" w:eastAsia="Arial" w:cs="Arial"/>
          <w:sz w:val="18"/>
          <w:szCs w:val="18"/>
        </w:rPr>
        <w:t xml:space="preserve">Algunos recintos se pueden encuentran cerrados por asuntos políticos o diplomáticos.</w:t>
      </w:r>
    </w:p>
    <w:p>
      <w:pPr>
        <w:jc w:val="start"/>
      </w:pPr>
      <w:r>
        <w:rPr>
          <w:rFonts w:ascii="Arial" w:hAnsi="Arial" w:eastAsia="Arial" w:cs="Arial"/>
          <w:sz w:val="18"/>
          <w:szCs w:val="18"/>
        </w:rPr>
        <w:t xml:space="preserve">Sujetas a realizarse en días diferentes y/o cambios en destino sin previo aviso.</w:t>
      </w:r>
    </w:p>
    <w:p>
      <w:pPr>
        <w:jc w:val="start"/>
      </w:pPr>
      <w:r>
        <w:rPr>
          <w:rFonts w:ascii="Arial" w:hAnsi="Arial" w:eastAsia="Arial" w:cs="Arial"/>
          <w:sz w:val="18"/>
          <w:szCs w:val="18"/>
        </w:rPr>
        <w:t xml:space="preserve">Se necesitan mínimo 20 pasajeros en cada excursión para ser operativas.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 DE ALOJAMIENTO</w:t>
      </w:r>
    </w:p>
    <w:p>
      <w:pPr>
        <w:jc w:val="start"/>
      </w:pPr>
      <w:r>
        <w:rPr>
          <w:rFonts w:ascii="Arial" w:hAnsi="Arial" w:eastAsia="Arial" w:cs="Arial"/>
          <w:sz w:val="18"/>
          <w:szCs w:val="18"/>
        </w:rPr>
        <w:t xml:space="preserve">Habitaciones Triples: Las habitaciones triples están compuestas de una cama matrimonial más una cama suplementaria (rollaway) ó sofá-cama, las habitaciones triples no se recomiendan para Adultos, Cuando hay menores en compañía de sus padres se requiere tener disponibilidad en triple.</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9F01EE3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F7884C1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omroc"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mega-travel-operadora-20241002.pdf"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2025-01-30T12:07:57-06:00</dcterms:created>
  <dcterms:modified xsi:type="dcterms:W3CDTF">2025-01-30T12:07:57-06:00</dcterms:modified>
</cp:coreProperties>
</file>

<file path=docProps/custom.xml><?xml version="1.0" encoding="utf-8"?>
<Properties xmlns="http://schemas.openxmlformats.org/officeDocument/2006/custom-properties" xmlns:vt="http://schemas.openxmlformats.org/officeDocument/2006/docPropsVTypes"/>
</file>