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India y Turquía</w:t>
      </w:r>
    </w:p>
    <w:p>
      <w:pPr>
        <w:jc w:val="start"/>
      </w:pPr>
      <w:r>
        <w:rPr>
          <w:rFonts w:ascii="Arial" w:hAnsi="Arial" w:eastAsia="Arial" w:cs="Arial"/>
          <w:sz w:val="22.5"/>
          <w:szCs w:val="22.5"/>
          <w:b w:val="1"/>
          <w:bCs w:val="1"/>
        </w:rPr>
        <w:t xml:space="preserve">MT-30144  </w:t>
      </w:r>
      <w:r>
        <w:rPr>
          <w:rFonts w:ascii="Arial" w:hAnsi="Arial" w:eastAsia="Arial" w:cs="Arial"/>
          <w:sz w:val="22.5"/>
          <w:szCs w:val="22.5"/>
        </w:rPr>
        <w:t xml:space="preserve">- Web: </w:t>
      </w:r>
      <w:hyperlink r:id="rId7" w:history="1">
        <w:r>
          <w:rPr>
            <w:color w:val="blue"/>
          </w:rPr>
          <w:t xml:space="preserve">https://viaje.mt/ZYRrD</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05</w:t>
            </w:r>
          </w:p>
          <w:p>
            <w:pPr>
              <w:jc w:val="start"/>
              <w:spacing w:before="0" w:after="0" w:line="24" w:lineRule="auto"/>
            </w:pPr>
          </w:p>
          <w:p>
            <w:pPr>
              <w:jc w:val="start"/>
            </w:pPr>
            <w:r>
              <w:rPr>
                <w:rFonts w:ascii="Arial" w:hAnsi="Arial" w:eastAsia="Arial" w:cs="Arial"/>
                <w:sz w:val="18"/>
                <w:szCs w:val="18"/>
              </w:rPr>
              <w:t xml:space="preserve">Octubre:  03,  31</w:t>
            </w:r>
          </w:p>
          <w:p>
            <w:pPr>
              <w:jc w:val="start"/>
              <w:spacing w:before="0" w:after="0" w:line="24" w:lineRule="auto"/>
            </w:pPr>
          </w:p>
          <w:p>
            <w:pPr>
              <w:jc w:val="start"/>
            </w:pPr>
            <w:r>
              <w:rPr>
                <w:rFonts w:ascii="Arial" w:hAnsi="Arial" w:eastAsia="Arial" w:cs="Arial"/>
                <w:sz w:val="18"/>
                <w:szCs w:val="18"/>
              </w:rPr>
              <w:t xml:space="preserve">Diciembre: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Delhi, Jaipur,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Estambul,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ESTAMBUL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 (medio dia).  A la hora convenida traslado al aeropuerto para abordar vuelo con destino a Delhi.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asistencia en el aeropuerto por representante de habla hispana y traslado al hotel. Desayuno. Mas tarde salida hacia Jaipur. Llegada y almuerzo en el hotel. Sugerimos realizar la excursión opcional (no incluida – con costo adicional) “TEMPLO HINDU BIRLA Y PASEO EN TRICICLO” Jaipur, la cuidad rosa que debe su sobrenombre al color de la arenisca con la que se construyeron los edificios de la ciudad antigua. El diseño agradable de esta villa se debe al maharajá Jai Sigh II que inició su construcción en 1728 y consiguió que su arquitecto Vidyadhar Chakravarty mezclara con acierto estilos tan diversos como el hindú, jaina, mongol y persa. Llegada a Jaipur y traslado al hotel. Después sugerimos realizar la excursión opcional (no incluida – con costo adicional) “HAWA MAHA”, Palacio de los vientos, construido 1799 por reyes locales de Jaipur. Es una fachada con las ventas que eran para las mujeres para ver procesiones de las calles de Jaipur (parada para foto). Sugerimos realizar la excursión opcional (no incluida – con costo adicional) “JAL MAHAL”, Palacio del agua, está ubicado en medio del agua y era palacio de verano de los reyes de Jaipur para hacer fiestas especiales y en privado donde solo podian ir los reyes y sirvientes de ellos (parada para foto). Sugerimos realizar la excursión opcional (no incluida – con costo adicional) “PASEO EN 4X4” en pueblo Amber, bajaremos en jeeps disfrutando de las vistas magnificas del pueblo de fuerte amber. Este templo es uy famoso en Jaipur y casi visitado por todos los turistas de Jaipur. Sugerimos realizar la excursión opcional (no incluida – con costo adicional)“PASEO EN RICKSHAW” Paseo en Rickshaw este paseo de 40 minutos nos permite ver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 fuerte Amber (Subida a lomos de Elefante sujeto a disponibilidad con costo adicional), llevado a cabo por los reyes mongoles con el objetivo de defender la ciudadela, construyendo un palacio y otra fortaleza en una posición más elevada, fue originalmente construida por los Meenas, quienes consagraron la ciudad a Amba, la Diosa Madre a la que conocían como “Gatta Rani” o “Reina del Pasado.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Regreso hotel. Sugerimos realizar la excursión opcional (no incluida – con costo adicional) “PALACIO DE LA CIUDAD (CITY PALACE)” Palacio real de la India donde una parte visitaremos que tiene cosas antiguas de los reyes de la familia real. Sugerimos realizar la excursión opcional (no incluida – con costo adicional) “PUERTA PATRIKA” famoso para sacar fotos y tiene muchos colores. Esta puerta fue al publico en el ano 2016 y los recién casados vienen aquí para fotografías.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“MINI TAJ MAHAL Y MEHTAB JARDIN”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spués, Sugerimos realizar la excursión opcional (no incluida – con costo adicional) “FUERTE ROJO DE AGRA” Agra, fuerte rojo de Agra, visitaremos una parte de fuerte que tiene salas privadas, publicas de reuniones del siglo XVII, y el lugar donde murió emperador mirando el Taj Mahal, este monumento es muy histórico y completo.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siete maravillas del mundo. Taj Mahal (cerrado a los viernes, en el caso de viernes en Agra, Taj Mahal se visita jueves/sábado),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sí mismo ya resulta impresionante la decoración conocida como piedra dura en la que los pequeños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AGRA  🚌  NUEVA DELHI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vieja Delhi incluyendo la orientación de la parte vieja sin bajar del vehículo pasando por fuera de fuerte rojo y Chadani chowk.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está construido en el área de connaught place en el lugar en el cual el guru sikh, Es el templo más importante de los sikhs en Delhi. Miles de personas viene a visitar a este templo. Visitaremos templo Akshardham (Cerrado a los lunes),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DELHI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Octubre: 3, 31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26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Minia Cave Capadocia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Welcomhotel by ITC Hotels Dwarka</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Park Regis Jairpur</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 Hotel Clarks Shiraz</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Estambul – México, en clase turista.</w:t>
      </w:r>
    </w:p>
    <w:p>
      <w:pPr>
        <w:jc w:val="start"/>
      </w:pPr>
      <w:r>
        <w:rPr>
          <w:rFonts w:ascii="Arial" w:hAnsi="Arial" w:eastAsia="Arial" w:cs="Arial"/>
          <w:sz w:val="18"/>
          <w:szCs w:val="18"/>
        </w:rPr>
        <w:t xml:space="preserve">  ● 4 noches de alojamiento en Estambul. </w:t>
      </w:r>
    </w:p>
    <w:p>
      <w:pPr>
        <w:jc w:val="start"/>
      </w:pPr>
      <w:r>
        <w:rPr>
          <w:rFonts w:ascii="Arial" w:hAnsi="Arial" w:eastAsia="Arial" w:cs="Arial"/>
          <w:sz w:val="18"/>
          <w:szCs w:val="18"/>
        </w:rPr>
        <w:t xml:space="preserve">  ● 2 noches de alojamiento en Capadocia. </w:t>
      </w:r>
    </w:p>
    <w:p>
      <w:pPr>
        <w:jc w:val="start"/>
      </w:pPr>
      <w:r>
        <w:rPr>
          <w:rFonts w:ascii="Arial" w:hAnsi="Arial" w:eastAsia="Arial" w:cs="Arial"/>
          <w:sz w:val="18"/>
          <w:szCs w:val="18"/>
        </w:rPr>
        <w:t xml:space="preserve">  ● 1 noches de alojamiento en Delhi. </w:t>
      </w:r>
    </w:p>
    <w:p>
      <w:pPr>
        <w:jc w:val="start"/>
      </w:pPr>
      <w:r>
        <w:rPr>
          <w:rFonts w:ascii="Arial" w:hAnsi="Arial" w:eastAsia="Arial" w:cs="Arial"/>
          <w:sz w:val="18"/>
          <w:szCs w:val="18"/>
        </w:rPr>
        <w:t xml:space="preserve">  ● 2 noches de alojamiento en Jaipur. 2</w:t>
      </w:r>
    </w:p>
    <w:p>
      <w:pPr>
        <w:jc w:val="start"/>
      </w:pPr>
      <w:r>
        <w:rPr>
          <w:rFonts w:ascii="Arial" w:hAnsi="Arial" w:eastAsia="Arial" w:cs="Arial"/>
          <w:sz w:val="18"/>
          <w:szCs w:val="18"/>
        </w:rPr>
        <w:t xml:space="preserve">  ● 2 noches de alojamiento en Agra. </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India 2024: 60 USD por persona (se paga directamente en destino).</w:t>
      </w:r>
    </w:p>
    <w:p>
      <w:pPr>
        <w:jc w:val="start"/>
      </w:pPr>
      <w:r>
        <w:rPr>
          <w:rFonts w:ascii="Arial" w:hAnsi="Arial" w:eastAsia="Arial" w:cs="Arial"/>
          <w:sz w:val="18"/>
          <w:szCs w:val="18"/>
        </w:rPr>
        <w:t xml:space="preserve">  ● Subida en Elefante Fuerte Amber: 45 USD por dos personas (es necesario un mínimo de dos personas por elefante).</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3"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F98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2EA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YRr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indianvisaonline.gov.in/visa/tvoa.html"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2025-07-08T18:34:58-06:00</dcterms:created>
  <dcterms:modified xsi:type="dcterms:W3CDTF">2025-07-08T18:34:58-06:00</dcterms:modified>
</cp:coreProperties>
</file>

<file path=docProps/custom.xml><?xml version="1.0" encoding="utf-8"?>
<Properties xmlns="http://schemas.openxmlformats.org/officeDocument/2006/custom-properties" xmlns:vt="http://schemas.openxmlformats.org/officeDocument/2006/docPropsVTypes"/>
</file>