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El Camino del Samurái Vuelo desde Los Ángeles</w:t>
      </w:r>
    </w:p>
    <w:p>
      <w:pPr>
        <w:jc w:val="start"/>
      </w:pPr>
      <w:r>
        <w:rPr>
          <w:rFonts w:ascii="Arial" w:hAnsi="Arial" w:eastAsia="Arial" w:cs="Arial"/>
          <w:sz w:val="22.5"/>
          <w:szCs w:val="22.5"/>
          <w:b w:val="1"/>
          <w:bCs w:val="1"/>
        </w:rPr>
        <w:t xml:space="preserve">MT-30223  </w:t>
      </w:r>
      <w:r>
        <w:rPr>
          <w:rFonts w:ascii="Arial" w:hAnsi="Arial" w:eastAsia="Arial" w:cs="Arial"/>
          <w:sz w:val="22.5"/>
          <w:szCs w:val="22.5"/>
        </w:rPr>
        <w:t xml:space="preserve">- Web: </w:t>
      </w:r>
      <w:hyperlink r:id="rId7" w:history="1">
        <w:r>
          <w:rPr>
            <w:color w:val="blue"/>
          </w:rPr>
          <w:t xml:space="preserve">https://viaje.mt/T1kxM</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Hiroshima, Osaka, Kioto.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Traslado a la estación de tren para abordar tren bala con destino a Hiroshima.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ldquo;HIROSHIMArdquo;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 Por la tarde sugerimos realizar la visita opcional (no incluida, con costo adicional) ldquo;OSAKA CON METROrdquo;.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ldquo;KIOTOrdquo; Visitaremos el Kinkakuji, probablemente el templo más famoso de Japón. Este templo está considerado Patrimonio de la Humanidad por la UNESCO. Kinkaku-ji es conocido como ldquo;El pabellón doradordquo; por una razón muy especial: sus dos plantas superiores están cubiertas de pan de oro. Su brillante superficie se refleja en el ldquo;lago del espejordquo;.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montantilde;a, filtrando la luz del sol que se va reflejando en ti mientras avanzas. Terminaremos nuestro día en el Templo de Kyomizudera, su nombre se traduce como ldquo;Templo de agua purardquo;, fue fundado en el antilde;o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ldquo;NARA Y KOBErdquo;.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Nagoya. En primer lugar visitaremos el pueblo histórico de Arimatsu, en la ciudad de Nagoya, Arimatsu ha sido designado Patrimonio de la Humanidad de Japón por sus técnicas tradicionales de tentilde;ido anudado y su paisaje urbano lleno de historia y ambiente. Realizaremos la visita de ciudad, donde conoceremos el Castillo de Nagoya. Por la tarde, sugerimos realizar la visita opcional (no incluida, con costo adicional) ldquo;NAGOYArdquo; que realizaremos en metro. Primero visitaremos el Santuario de Atsuta, construido en el antilde;o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antilde;o.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ldquo;KAMAKURA Y YOKOHAMArdquo;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antilde;os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ldquo;MONTE FUJI, OSHINO HAKKAI Y GOTEMBA PREMIUM OUTLETrdquo;.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TOKIO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centro de la ciudad de Tokio para realizar visita panorámica. Visita al Santuario de Meiji, el barrio de Harajuku y la avenida Omoresando. A la hora indicada, traslado al aeropuerto para abordar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20</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Smile Hotel Hiroshima Toyoko Inn Hiroshima Daiwa Roynet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Kuretake Inn Osaka Hatago Inn Kansai Hotel Mystays Osaka R Hotel Osaka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Smile Hotel Nagoya Toyoko Inn Nagoya Comfort Inn Nagoya Sotetsu Fresa Inn Nagoya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IL Fiore Kasai ICH Hotel Toyoko Inn Hotel Tokyu Stay Kamata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México, en clase turista.</w:t>
      </w:r>
    </w:p>
    <w:p>
      <w:pPr>
        <w:jc w:val="start"/>
      </w:pPr>
      <w:r>
        <w:rPr>
          <w:rFonts w:ascii="Arial" w:hAnsi="Arial" w:eastAsia="Arial" w:cs="Arial"/>
          <w:sz w:val="18"/>
          <w:szCs w:val="18"/>
        </w:rPr>
        <w:t xml:space="preserve">  ● Boleto tren bala Tokyo – Hiroshima</w:t>
      </w:r>
    </w:p>
    <w:p>
      <w:pPr>
        <w:jc w:val="start"/>
      </w:pPr>
      <w:r>
        <w:rPr>
          <w:rFonts w:ascii="Arial" w:hAnsi="Arial" w:eastAsia="Arial" w:cs="Arial"/>
          <w:sz w:val="18"/>
          <w:szCs w:val="18"/>
        </w:rPr>
        <w:t xml:space="preserve">  ● 02 noches de alojamiento en Hiroshima</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Régimen alimenticio indicado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(se pagan directamente en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hyperlink r:id="rId11" w:history="1">
        <w:r>
          <w:rPr/>
          <w:t xml:space="preserve">https://www.vjw.digital.go.jp/main/#/vjwplo001/</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D55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6CFFD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1kx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2025-09-18T14:18:06-06:00</dcterms:created>
  <dcterms:modified xsi:type="dcterms:W3CDTF">2025-09-18T14:18:06-06:00</dcterms:modified>
</cp:coreProperties>
</file>

<file path=docProps/custom.xml><?xml version="1.0" encoding="utf-8"?>
<Properties xmlns="http://schemas.openxmlformats.org/officeDocument/2006/custom-properties" xmlns:vt="http://schemas.openxmlformats.org/officeDocument/2006/docPropsVTypes"/>
</file>