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Asiática, Corea y Japón</w:t>
      </w:r>
    </w:p>
    <w:p>
      <w:pPr>
        <w:jc w:val="start"/>
      </w:pPr>
      <w:r>
        <w:rPr>
          <w:rFonts w:ascii="Arial" w:hAnsi="Arial" w:eastAsia="Arial" w:cs="Arial"/>
          <w:sz w:val="22.5"/>
          <w:szCs w:val="22.5"/>
          <w:b w:val="1"/>
          <w:bCs w:val="1"/>
        </w:rPr>
        <w:t xml:space="preserve">MT-30224  </w:t>
      </w:r>
      <w:r>
        <w:rPr>
          <w:rFonts w:ascii="Arial" w:hAnsi="Arial" w:eastAsia="Arial" w:cs="Arial"/>
          <w:sz w:val="22.5"/>
          <w:szCs w:val="22.5"/>
        </w:rPr>
        <w:t xml:space="preserve">- Web: </w:t>
      </w:r>
      <w:hyperlink r:id="rId7" w:history="1">
        <w:r>
          <w:rPr>
            <w:color w:val="blue"/>
          </w:rPr>
          <w:t xml:space="preserve">https://viaje.mt/K3D2B</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Nagoya, Osaka, Hiroshima, Fukuoka, Busan, Gyeongju, Seúl.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puede operar vía Tokio*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Tiempo de espera para abordar vuelo con destino a Tokio. Llegada y traslado al hotel. Tiempo libre hasta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En la tarde, sugerimos realizar el tour opcional (no incluida – con costo adicional) TOKIO CON METRO. Visitaremos la zona de GINZA; es uno de los barrios más lujosos y emblemáticos de Tokio, es famoso por sus tiendas de alta gama, restaurantes exclusivos y una vibrante vida urbana, posteriormente visitaremos el barrio ded HARJIKU, una de las zonas más vibrantes y juveniles de Tokio, famosa por su moda excéntrica, cultura pop y ambiente dinámico. Al final visitaremos el barrio de SHINJIKU, es conocido por su vida nocturna, enormes rascacielos, centros comerciales y entretenimiento.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mientrasintentas ser un rikishi o luchador de sumo.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TOKIO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NAGOYA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Hiroshima.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HIROSHIMA 🚌 FUKUOAKA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Fukuoaka. Salida hacia Busan. Encuentro con guía de habla hispana en el aeropuerto de Busan.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DÍA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BUSAN 🚌 GYEONGJU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Seul.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MINÍMO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29</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México, en clase turista. </w:t>
      </w:r>
    </w:p>
    <w:p>
      <w:pPr>
        <w:jc w:val="start"/>
      </w:pPr>
      <w:r>
        <w:rPr>
          <w:rFonts w:ascii="Arial" w:hAnsi="Arial" w:eastAsia="Arial" w:cs="Arial"/>
          <w:sz w:val="18"/>
          <w:szCs w:val="18"/>
        </w:rPr>
        <w:t xml:space="preserve">  ● Vuelo Seúl – Tokio, en clase turista.</w:t>
      </w:r>
    </w:p>
    <w:p>
      <w:pPr>
        <w:jc w:val="start"/>
      </w:pPr>
      <w:r>
        <w:rPr>
          <w:rFonts w:ascii="Arial" w:hAnsi="Arial" w:eastAsia="Arial" w:cs="Arial"/>
          <w:sz w:val="18"/>
          <w:szCs w:val="18"/>
        </w:rPr>
        <w:t xml:space="preserve">  ● Vuelo Fukuoka – Busan, en clase turista. </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Hiroshima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(Se paga directo en destino)</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2" w:history="1">
        <w:r>
          <w:rPr/>
          <w:t xml:space="preserve">https://portales.sre.gob.mx/guiadeviaje/103-ficha-de-paises/304-corea-del-sur</w:t>
        </w:r>
      </w:hyperlink>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4CD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EE9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3D2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portales.sre.gob.mx/guiadeviaje/103-ficha-de-paises/304-corea-del-su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2025-09-18T12:57:46-06:00</dcterms:created>
  <dcterms:modified xsi:type="dcterms:W3CDTF">2025-09-18T12:57:46-06:00</dcterms:modified>
</cp:coreProperties>
</file>

<file path=docProps/custom.xml><?xml version="1.0" encoding="utf-8"?>
<Properties xmlns="http://schemas.openxmlformats.org/officeDocument/2006/custom-properties" xmlns:vt="http://schemas.openxmlformats.org/officeDocument/2006/docPropsVTypes"/>
</file>