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Chiapas Espectacular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MT-40002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https://viaje.mt/dga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$10589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Tuxtla Gutierrez, Cañón del Sumidero, San Juan Chamula, Zinacantan, San Cristóbal de las Casas, Agua Azul, Misol Ha, Palenque, Villahermosa.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MÉXICO – TUXTLA GUTIÉRREZ – CAÑÓN DEL SUMIDERO – SAN CRISTÓBAL DE LAS CASAS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para abordar nuestro vuelo con destino a la ciudad de Tuxtla Gutiérrez. Recepción en Tuxtla Gutiérrez, nuestra aventura comenzará rumbo al embarcadero para realizar un emocionante viaje en lancha, a través del imponente Cañón del Sumidero. Este majestuoso lugar es una maravilla geológica que alberga una diversidad única de flora y fauna. Luego, continuamos hacia la histórica ciudad colonial de San Cristóbal de Las Casas, ubicada a 2.300 metros sobre el nivel del mar, y fundada en 1528 por el capitán Diego de Mazariegos. Una vez lleguemos a San Cristóbal, nos registramos en el hotel y tendrás tiempo para explorar y descubrir los encantos de este hermoso Pueblo Mágico.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SAN CRISTÓBAL DE LAS CASAS – SAN JUAN CHAMULA – ZINACANTÁN - CITY TOUR SAN CRISTÓBAL DE LAS CASAS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Por la mañana, emprendemos nuestro viaje hacia las comunidades indígenas del grupo étnico Tzotzil, sumergiéndonos en un mundo de tradiciones y cultura única en San Juan Chamula. Aquí, apreciamos la fusión de tradiciones contemporáneas y características ancestrales. Posteriormente, nos dirigimos a la comunidad de Zinacantán, donde visitamos su iglesia y una cooperativa familiar para observar cómo las mujeres trabajan el telar de cintura, un arte ancestral de épocas precolombinas. Admiramos la belleza de los telares y luego tenemos la oportunidad de pasar a la cocina, donde disfrutamos de una bebida típica regional y, si tenemos suerte, unas deliciosas tortillas hechas a mano. Al finalizar nuestra experiencia en las comunidades indígenas, regresamos a San Cristóbal de Las Casas y exploramos esta hermosa ciudad en un City Tour a pie. También, contamos con tiempo libre para disfrutar de sus calles llenas de historia y cultura.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SAN CRISTÓBAL DE LAS CASAS – CASCADAS AGUA AZUL – MISOL-HA – ZONA ARQUEOLÓGICA DE PALENQUE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03:30 am En la mañana, saldremos hacia Palenque, haciendo escala en Agua Azul, un conjunto de cascadas creadas por las corrientes de los ríos Otulún, Shumuljá y Tulijá, formando cañones no muy profundos con acantilados verticales, en donde podremos nadar y disfrutar de las diferentes áreas. Después, proseguiremos a las cascadas de Misol-Ha, que con sus 30 metros de altura, y rodeada por selva tropical alta, hacen de éste, un hermoso y refrescante lugar. Al terminar visitaremos el sitio arqueológico de Palenque. Esta ciudad maya destaca por su acervo arquitectónico y escultórico; podremos admirar varias construcciones: El Palacio, El Templo de la Cruz Foliada, El Templo del Sol y otras más. Posteriormente nos trasladaremos al hotel en la ciudad de Palenque.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PALENQUE – MUSEO LA VENTA – AEROPUERTO VILLAHERMOSA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En esta hermosa mañana, partimos hacia la ciudad de Villahermosa con la emoción de visitar el museo "La Venta", un lugar lleno de historia y belleza que despierta nuestra curiosidad y asombro. En sus salas, se albergan majestuosas obras pertenecientes a la Cultura Olmeca, una civilización antigua que nos deja un legado sorprendente. Contemplamos las cuatro categorías de piezas: los altares, las estelas, las esculturas exentas y las impresionantes cabezas colosales. Cada una de ellas nos sumerge en la grandeza de la cultura precolombina y nos conecta con nuestro pasado ancestral. Finalmente, nos trasladamos al aeropuerto de Villahermosa para tomar nuestro vuelo de regreso a nuestra Ciudad de origen.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CPL.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SENCILLO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MENOR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$ 10,589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$ 11,359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$ 13,649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$ 7,049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$ 11,089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$ 11,789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$ 14,189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$ 7,279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5*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$ 13,689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$ 14,699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$ 19,649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$ 8,729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  <w:tr>
        <w:trPr/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Aplican supl. temporada alta (navidad, fin de año, semana santa, verano)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– Precios por persona en MXN.– Los precios indicados en este itinerario son de carácter informativo y deben ser confirmados para realizar su reservación ya que están sujetos a modificaciones sin previo aviso– Opera con un mínimo de 02 pasajeros.–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Servicio compartido.–</w:t>
      </w:r>
      <w:r>
        <w:rPr>
          <w:rFonts w:ascii="Arial" w:hAnsi="Arial" w:eastAsia="Arial" w:cs="Arial"/>
          <w:color w:val="000000"/>
          <w:sz w:val="19.199999999999999289457264239899814128875732421875"/>
          <w:szCs w:val="19.199999999999999289457264239899814128875732421875"/>
        </w:rPr>
        <w:t xml:space="preserve">Consultar suplementos por cambio de categoría.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>
          <w:tblHeader w:val="1"/>
        </w:trPr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PARAÍSO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CRISTÓBAL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CAÑADA INTERNACIONAL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PALENQUE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PLAZA MAGNOLIAS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CRISTÓBAL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MAYA TULIPANES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PALENQUE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4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 MERCEDES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SAN CRISTÓBAL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5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 MERCEDES O SIMILAR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PALENQUE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5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15/12/2025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en clase turista MEX TGZ // VSA MEX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Chófer-guía en español durante todo el recorrido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Guía en zonas arqueológicas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Todas las entradas a parques y monumentos descritos en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en lancha al Parque Nacional Cañón del sumidero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San Juan Chamula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Zinacantán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City tour a pie en San Cristóbal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las Cascadas de Agua azul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la Cascada de Misol- Há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Zona Arqueológica de Palenque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 Parque Museo La Venta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 de llegada/ salida (aeropuerto, hotel, Central de autobuses el 1er y 4to. día del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Tour en lancha compartida en el rio Grijalva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in/out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Hoteles de 3, 4 y 5 estrellas (según categoría seleccionada)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San Cristóbal de las Casas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01 noche de alojamiento en Palenque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tipo americano solo adultos (2 días en el hotel y 1 día en ruta)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PERSONALES,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BEBIDAS EN LOS ALIMENTOS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SUPLEMENTO POR LLEGADA O SALIDA FUERA DE HORARIO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ESPECÍFICADO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DESAYUNOS PARA MENORES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MALETA DOCUMENTADA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– La llegada a Tuxtla Gutiérrez debe ser antes de las 13:00hrs.– La salida de Tuxtla Gutiérrez debe ser después de las 17:00hrs.– Se recomienda traer consigo toalla, sandalias, traje de baño, protector solar, repelente de insectos, Kit de aseo personal, gorra o sombrero, impermeable y/o sombrilla, pantalones ligeros, zapatos cerrados, cómodos para caminatas tanto en las zonas arqueológicas como la selva y ropa fresca para los climas más calurosos.– Consulta con tu ejecutivo suplemento de días festivos, puentes y temporada alta.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DE LAS TARIFAS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– 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NIÑOS (2-11 años): Compartiendo cama con los padres. No Incluyen desayuno para el menor en los hoteles seleccionados.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8C0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789A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dga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2025-02-07T18:52:51-06:00</dcterms:created>
  <dcterms:modified xsi:type="dcterms:W3CDTF">2025-02-07T18:52:51-06:00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