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Whistler - Victoria - Vancouver 10 días</w:t>
      </w:r>
    </w:p>
    <w:p>
      <w:pPr>
        <w:jc w:val="start"/>
      </w:pPr>
      <w:r>
        <w:rPr>
          <w:rFonts w:ascii="Arial" w:hAnsi="Arial" w:eastAsia="Arial" w:cs="Arial"/>
          <w:sz w:val="22.5"/>
          <w:szCs w:val="22.5"/>
          <w:b w:val="1"/>
          <w:bCs w:val="1"/>
        </w:rPr>
        <w:t xml:space="preserve">MT-41273  </w:t>
      </w:r>
      <w:r>
        <w:rPr>
          <w:rFonts w:ascii="Arial" w:hAnsi="Arial" w:eastAsia="Arial" w:cs="Arial"/>
          <w:sz w:val="22.5"/>
          <w:szCs w:val="22.5"/>
        </w:rPr>
        <w:t xml:space="preserve">- Web: </w:t>
      </w:r>
      <w:hyperlink r:id="rId7" w:history="1">
        <w:r>
          <w:rPr>
            <w:color w:val="blue"/>
          </w:rPr>
          <w:t xml:space="preserve">https://viaje.mt/zxc</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$4309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Esta ciudad es la famosa capital de mundo ldquo;cowboyrdquo;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Montantilde;a Tunnel, en cuyo camino posiblemente veamos la típica fauna salvaje de esta región.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Montantilde;a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Cantilde;ón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Cantilde;ón Maligne y tendremos la oportunidad de admirar los lagos Pyramid y Patricia. Bordeando el Lago Moose nos despedimos de Jasper para admirar la majestuosidad del pico más alto de las Rocosas Canadienses, el Monte Robson. Dejaremos las altas montantilde;as; en las inmediaciones del Parque Provincial de Wells Gray visitaremos las cascadas Spahats de 70 metros de caída.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histórico pueblo de Fort Langley. Seguiremos a la ciudad de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(el más grande de Canadá). Gastown (el barrio más antiguo de la ciudad), Stanley Park, donde paramos a sacar fotos de unos auténticos tótems indígenas. Finalizando nuestra visita a la ciudad en Granville Island. Resto de la tarde libre. Se recomienda de manera opcional el Tour de Norte de Vancouver (opcional) visitando el puente de Capilano y la montantilde;a Grouse.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día empieza con un cómodo viaje de 1.5 horas en el ferry (incluido) que nos trasladará a la Isla de Vancouver.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regresar en hidroavión a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Vancouver -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Saliendo de Vancouver nos adentraremos en una de las carreteras más reconocidas por su espectacularidad: Sea to Sky Highway. Haremos la primera parada en las imponentes cascadas Shannon, 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sus 333 m de caída, son el último escalafón que las gélidas aguas recorren antes de caer al mar. Pasando por el pueblo de Squamish se levanta majestuoso el monolito de granito más alto de Canadá, el Stawamus Chief, mejor conocido como ldquo;The Chiefrdquo;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regresar en hidroavión a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 11</w:t>
            </w:r>
          </w:p>
        </w:tc>
        <w:tc>
          <w:tcPr>
            <w:tcW w:w="5000" w:type="pct"/>
          </w:tcPr>
          <w:p>
            <w:pPr/>
            <w:r>
              <w:rPr>
                <w:rFonts w:ascii="Arial" w:hAnsi="Arial" w:eastAsia="Arial" w:cs="Arial"/>
                <w:color w:val="000000"/>
                <w:sz w:val="18"/>
                <w:szCs w:val="18"/>
              </w:rPr>
              <w:t xml:space="preserve">$ 4,309</w:t>
            </w:r>
          </w:p>
        </w:tc>
        <w:tc>
          <w:tcPr>
            <w:tcW w:w="5000" w:type="pct"/>
          </w:tcPr>
          <w:p>
            <w:pPr/>
            <w:r>
              <w:rPr>
                <w:rFonts w:ascii="Arial" w:hAnsi="Arial" w:eastAsia="Arial" w:cs="Arial"/>
                <w:color w:val="000000"/>
                <w:sz w:val="18"/>
                <w:szCs w:val="18"/>
              </w:rPr>
              <w:t xml:space="preserve">$ 4,579</w:t>
            </w:r>
          </w:p>
        </w:tc>
        <w:tc>
          <w:tcPr>
            <w:tcW w:w="5000" w:type="pct"/>
          </w:tcPr>
          <w:p>
            <w:pPr/>
            <w:r>
              <w:rPr>
                <w:rFonts w:ascii="Arial" w:hAnsi="Arial" w:eastAsia="Arial" w:cs="Arial"/>
                <w:color w:val="000000"/>
                <w:sz w:val="18"/>
                <w:szCs w:val="18"/>
              </w:rPr>
              <w:t xml:space="preserve">$ 5,119</w:t>
            </w:r>
          </w:p>
        </w:tc>
        <w:tc>
          <w:tcPr>
            <w:tcW w:w="5000" w:type="pct"/>
          </w:tcPr>
          <w:p>
            <w:pPr/>
            <w:r>
              <w:rPr>
                <w:rFonts w:ascii="Arial" w:hAnsi="Arial" w:eastAsia="Arial" w:cs="Arial"/>
                <w:color w:val="000000"/>
                <w:sz w:val="18"/>
                <w:szCs w:val="18"/>
              </w:rPr>
              <w:t xml:space="preserve">$ 7,009</w:t>
            </w:r>
          </w:p>
        </w:tc>
        <w:tc>
          <w:tcPr>
            <w:tcW w:w="5000" w:type="pct"/>
          </w:tcPr>
          <w:p>
            <w:pPr/>
            <w:r>
              <w:rPr>
                <w:rFonts w:ascii="Arial" w:hAnsi="Arial" w:eastAsia="Arial" w:cs="Arial"/>
                <w:color w:val="000000"/>
                <w:sz w:val="18"/>
                <w:szCs w:val="18"/>
              </w:rPr>
              <w:t xml:space="preserve">$ 3,279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$ 4,399</w:t>
            </w:r>
          </w:p>
        </w:tc>
        <w:tc>
          <w:tcPr>
            <w:tcW w:w="5000" w:type="pct"/>
          </w:tcPr>
          <w:p>
            <w:pPr/>
            <w:r>
              <w:rPr>
                <w:rFonts w:ascii="Arial" w:hAnsi="Arial" w:eastAsia="Arial" w:cs="Arial"/>
                <w:color w:val="000000"/>
                <w:sz w:val="18"/>
                <w:szCs w:val="18"/>
              </w:rPr>
              <w:t xml:space="preserve">$ 4,699</w:t>
            </w:r>
          </w:p>
        </w:tc>
        <w:tc>
          <w:tcPr>
            <w:tcW w:w="5000" w:type="pct"/>
          </w:tcPr>
          <w:p>
            <w:pPr/>
            <w:r>
              <w:rPr>
                <w:rFonts w:ascii="Arial" w:hAnsi="Arial" w:eastAsia="Arial" w:cs="Arial"/>
                <w:color w:val="000000"/>
                <w:sz w:val="18"/>
                <w:szCs w:val="18"/>
              </w:rPr>
              <w:t xml:space="preserve">$ 5,299</w:t>
            </w:r>
          </w:p>
        </w:tc>
        <w:tc>
          <w:tcPr>
            <w:tcW w:w="5000" w:type="pct"/>
          </w:tcPr>
          <w:p>
            <w:pPr/>
            <w:r>
              <w:rPr>
                <w:rFonts w:ascii="Arial" w:hAnsi="Arial" w:eastAsia="Arial" w:cs="Arial"/>
                <w:color w:val="000000"/>
                <w:sz w:val="18"/>
                <w:szCs w:val="18"/>
              </w:rPr>
              <w:t xml:space="preserve">$ 7,369</w:t>
            </w:r>
          </w:p>
        </w:tc>
        <w:tc>
          <w:tcPr>
            <w:tcW w:w="5000" w:type="pct"/>
          </w:tcPr>
          <w:p>
            <w:pPr/>
            <w:r>
              <w:rPr>
                <w:rFonts w:ascii="Arial" w:hAnsi="Arial" w:eastAsia="Arial" w:cs="Arial"/>
                <w:color w:val="000000"/>
                <w:sz w:val="18"/>
                <w:szCs w:val="18"/>
              </w:rPr>
              <w:t xml:space="preserve">$ 3,279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$ 4,479</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$ 5,449</w:t>
            </w:r>
          </w:p>
        </w:tc>
        <w:tc>
          <w:tcPr>
            <w:tcW w:w="5000" w:type="pct"/>
          </w:tcPr>
          <w:p>
            <w:pPr/>
            <w:r>
              <w:rPr>
                <w:rFonts w:ascii="Arial" w:hAnsi="Arial" w:eastAsia="Arial" w:cs="Arial"/>
                <w:color w:val="000000"/>
                <w:sz w:val="18"/>
                <w:szCs w:val="18"/>
              </w:rPr>
              <w:t xml:space="preserve">$ 7,689</w:t>
            </w:r>
          </w:p>
        </w:tc>
        <w:tc>
          <w:tcPr>
            <w:tcW w:w="5000" w:type="pct"/>
          </w:tcPr>
          <w:p>
            <w:pPr/>
            <w:r>
              <w:rPr>
                <w:rFonts w:ascii="Arial" w:hAnsi="Arial" w:eastAsia="Arial" w:cs="Arial"/>
                <w:color w:val="000000"/>
                <w:sz w:val="18"/>
                <w:szCs w:val="18"/>
              </w:rPr>
              <w:t xml:space="preserve">$ 3,279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2 a 11 antilde;os y aplica solo compartiendo habitación con 2 adultos - </w:t>
      </w:r>
      <w:r>
        <w:rPr>
          <w:rFonts w:ascii="Arial" w:hAnsi="Arial" w:eastAsia="Arial" w:cs="Arial"/>
          <w:color w:val="000000"/>
          <w:sz w:val="18"/>
          <w:szCs w:val="18"/>
        </w:rPr>
        <w:t xml:space="preserve">Máximo 4 personas por habitación entre adultos y menores -  Mega Travel se encuentra sujeto a las políticas y restricciones que imponga el gobierno canadiense para reapertura de fronteras -  Precio sujeto a disponibilidad hasta el momento de reservar -  El orden de las visitas se reconfirmará hasta el momento de la llegada a Vancouver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1 cena en el Rancho South Thompson</w:t>
      </w:r>
    </w:p>
    <w:p>
      <w:pPr>
        <w:jc w:val="start"/>
      </w:pPr>
      <w:r>
        <w:rPr>
          <w:rFonts w:ascii="Arial" w:hAnsi="Arial" w:eastAsia="Arial" w:cs="Arial"/>
          <w:sz w:val="18"/>
          <w:szCs w:val="18"/>
        </w:rPr>
        <w:t xml:space="preserve">  ● Entrada a Heritage Park en Calgary, Butchart Gardens y paseo en el Ice Explorer.</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B7A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765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E1B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x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2025-02-07T13:29:22-06:00</dcterms:created>
  <dcterms:modified xsi:type="dcterms:W3CDTF">2025-02-07T13:29:22-06:00</dcterms:modified>
</cp:coreProperties>
</file>

<file path=docProps/custom.xml><?xml version="1.0" encoding="utf-8"?>
<Properties xmlns="http://schemas.openxmlformats.org/officeDocument/2006/custom-properties" xmlns:vt="http://schemas.openxmlformats.org/officeDocument/2006/docPropsVTypes"/>
</file>