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del Pacífico</w:t>
      </w:r>
    </w:p>
    <w:p>
      <w:pPr>
        <w:jc w:val="start"/>
      </w:pPr>
      <w:r>
        <w:rPr>
          <w:rFonts w:ascii="Arial" w:hAnsi="Arial" w:eastAsia="Arial" w:cs="Arial"/>
          <w:sz w:val="22.5"/>
          <w:szCs w:val="22.5"/>
          <w:b w:val="1"/>
          <w:bCs w:val="1"/>
        </w:rPr>
        <w:t xml:space="preserve">MT-42144  </w:t>
      </w:r>
      <w:r>
        <w:rPr>
          <w:rFonts w:ascii="Arial" w:hAnsi="Arial" w:eastAsia="Arial" w:cs="Arial"/>
          <w:sz w:val="22.5"/>
          <w:szCs w:val="22.5"/>
        </w:rPr>
        <w:t xml:space="preserve">- Web: </w:t>
      </w:r>
      <w:hyperlink r:id="rId7" w:history="1">
        <w:r>
          <w:rPr>
            <w:color w:val="blue"/>
          </w:rPr>
          <w:t xml:space="preserve">https://viaje.mt/dmxh</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$1469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2025</w:t>
      </w:r>
      <w:br/>
      <w:r>
        <w:rPr>
          <w:rFonts w:ascii="Arial" w:hAnsi="Arial" w:eastAsia="Arial" w:cs="Arial"/>
          <w:sz w:val="22.5"/>
          <w:szCs w:val="22.5"/>
        </w:rPr>
        <w:t xml:space="preserve">Mayo 8, 15, 22, 29</w:t>
      </w:r>
      <w:br/>
      <w:r>
        <w:rPr>
          <w:rFonts w:ascii="Arial" w:hAnsi="Arial" w:eastAsia="Arial" w:cs="Arial"/>
          <w:sz w:val="22.5"/>
          <w:szCs w:val="22.5"/>
        </w:rPr>
        <w:t xml:space="preserve">Junio 12, 19, 26</w:t>
      </w:r>
      <w:br/>
      <w:r>
        <w:rPr>
          <w:rFonts w:ascii="Arial" w:hAnsi="Arial" w:eastAsia="Arial" w:cs="Arial"/>
          <w:sz w:val="22.5"/>
          <w:szCs w:val="22.5"/>
        </w:rPr>
        <w:t xml:space="preserve">Julio 3, 10, 17, 24, 31</w:t>
      </w:r>
      <w:br/>
      <w:r>
        <w:rPr>
          <w:rFonts w:ascii="Arial" w:hAnsi="Arial" w:eastAsia="Arial" w:cs="Arial"/>
          <w:sz w:val="22.5"/>
          <w:szCs w:val="22.5"/>
        </w:rPr>
        <w:t xml:space="preserve">Agosto 7, 14, 21, 28</w:t>
      </w:r>
      <w:br/>
      <w:r>
        <w:rPr>
          <w:rFonts w:ascii="Arial" w:hAnsi="Arial" w:eastAsia="Arial" w:cs="Arial"/>
          <w:sz w:val="22.5"/>
          <w:szCs w:val="22.5"/>
        </w:rPr>
        <w:t xml:space="preserve">Septiembre 4, 11, 18, 25</w:t>
      </w:r>
      <w:br/>
      <w:r>
        <w:rPr>
          <w:rFonts w:ascii="Arial" w:hAnsi="Arial" w:eastAsia="Arial" w:cs="Arial"/>
          <w:sz w:val="22.5"/>
          <w:szCs w:val="22.5"/>
        </w:rPr>
        <w:t xml:space="preserve">Octubre 2, 16, 30</w:t>
      </w:r>
      <w:br/>
      <w:r>
        <w:rPr>
          <w:rFonts w:ascii="Arial" w:hAnsi="Arial" w:eastAsia="Arial" w:cs="Arial"/>
          <w:sz w:val="22.5"/>
          <w:szCs w:val="22.5"/>
        </w:rPr>
        <w:t xml:space="preserve">Noviembre 13, 27</w:t>
      </w:r>
      <w:br/>
      <w:r>
        <w:rPr>
          <w:rFonts w:ascii="Arial" w:hAnsi="Arial" w:eastAsia="Arial" w:cs="Arial"/>
          <w:sz w:val="22.5"/>
          <w:szCs w:val="22.5"/>
        </w:rPr>
        <w:t xml:space="preserve">Diciembre 11, 18</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Enero 15, 29</w:t>
      </w:r>
      <w:br/>
      <w:r>
        <w:rPr>
          <w:rFonts w:ascii="Arial" w:hAnsi="Arial" w:eastAsia="Arial" w:cs="Arial"/>
          <w:sz w:val="22.5"/>
          <w:szCs w:val="22.5"/>
        </w:rPr>
        <w:t xml:space="preserve">Febrero 12, 26</w:t>
      </w:r>
      <w:br/>
      <w:r>
        <w:rPr>
          <w:rFonts w:ascii="Arial" w:hAnsi="Arial" w:eastAsia="Arial" w:cs="Arial"/>
          <w:sz w:val="22.5"/>
          <w:szCs w:val="22.5"/>
        </w:rPr>
        <w:t xml:space="preserve">Marzo 19</w:t>
      </w:r>
      <w:br/>
      <w:r>
        <w:rPr>
          <w:rFonts w:ascii="Arial" w:hAnsi="Arial" w:eastAsia="Arial" w:cs="Arial"/>
          <w:sz w:val="22.5"/>
          <w:szCs w:val="22.5"/>
        </w:rPr>
        <w:t xml:space="preserve">Abril 2, 9, 23, 30</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Francisco, Monterey, Carmel, Lompoc, Santa Barbara,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3 hrs de antelación para tomar su vuelo con destino a San Francisco. Recepción en el aeropuerto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iniciamos la visita de esta hermosa ciudad, incluyendo la zona del centro comercial y financiero, con paradas en el Centro Cívico, Twin Peaks, Golden Gate Park, el famoso puente Golden Gate y finalizando en el Fisherman s Wharf. Para los que quieran seguir andando por su cuenta podrán quedarse en el Wharf y antilde;adir un crucero Alcatraz o Sausalito. (Para antilde;adir Alcatraz, recomendamos hacerlo 30 días antes de su viaje ya que se agota la entrada con mucha antelación). Los demás regresamos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FRANCISCO  -  MONTEREY  -  CARMEL  -  LOMPOC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A primera hora de la mantilde;ana encuentro con su guía y salida hacia Monterey, antigua capital espantilde;ola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LOMPOC  -  SANTA BARBARA  -  LOS áNGELES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Deluxe. Por la mantilde;ana salida hacia Los ángeles. En el camino pasaremos por Santa Barbara para que tomen fotos externas de la misión del mismo nombre, denominada la reina de las misiones y seguidamente nos dirigiremos a la costa, atravesando sus calles y construcciones de estilo colonial espantilde;ol. Breve parada frente a la playa y salida hacia a Los ángeles. A la llegada a Los ángeles iniciaremos el tour de la ciudad pasando por las áreas de mayor interés; iniciaremos en Bervelly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Pavillion y Plaza Olvera.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Día Libre para disfrutar de esta bella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LOS áNGELES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A la hora indicada traslado al Aeropuerto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8, 15, 22, 29			Junio 12, 19, 26			Julio 3, 10, 17, 24, 31			Agosto 7, 14, 21, 28			Septiembre 4, 11, 18, 25			Octubre 2, 16, 30			Noviembre 13, 27			Diciembre 11, 18</w:t>
            </w:r>
          </w:p>
        </w:tc>
        <w:tc>
          <w:tcPr>
            <w:tcW w:w="5000" w:type="pct"/>
          </w:tcPr>
          <w:p>
            <w:pPr/>
            <w:r>
              <w:rPr>
                <w:rFonts w:ascii="Arial" w:hAnsi="Arial" w:eastAsia="Arial" w:cs="Arial"/>
                <w:color w:val="000000"/>
                <w:sz w:val="18"/>
                <w:szCs w:val="18"/>
              </w:rPr>
              <w:t xml:space="preserve">$ 1,469</w:t>
            </w:r>
          </w:p>
        </w:tc>
        <w:tc>
          <w:tcPr>
            <w:tcW w:w="5000" w:type="pct"/>
          </w:tcPr>
          <w:p>
            <w:pPr/>
            <w:r>
              <w:rPr>
                <w:rFonts w:ascii="Arial" w:hAnsi="Arial" w:eastAsia="Arial" w:cs="Arial"/>
                <w:color w:val="000000"/>
                <w:sz w:val="18"/>
                <w:szCs w:val="18"/>
              </w:rPr>
              <w:t xml:space="preserve">$ 1,559</w:t>
            </w:r>
          </w:p>
        </w:tc>
        <w:tc>
          <w:tcPr>
            <w:tcW w:w="5000" w:type="pct"/>
          </w:tcPr>
          <w:p>
            <w:pPr/>
            <w:r>
              <w:rPr>
                <w:rFonts w:ascii="Arial" w:hAnsi="Arial" w:eastAsia="Arial" w:cs="Arial"/>
                <w:color w:val="000000"/>
                <w:sz w:val="18"/>
                <w:szCs w:val="18"/>
              </w:rPr>
              <w:t xml:space="preserve">$ 1,679</w:t>
            </w:r>
          </w:p>
        </w:tc>
        <w:tc>
          <w:tcPr>
            <w:tcW w:w="5000" w:type="pct"/>
          </w:tcPr>
          <w:p>
            <w:pPr/>
            <w:r>
              <w:rPr>
                <w:rFonts w:ascii="Arial" w:hAnsi="Arial" w:eastAsia="Arial" w:cs="Arial"/>
                <w:color w:val="000000"/>
                <w:sz w:val="18"/>
                <w:szCs w:val="18"/>
              </w:rPr>
              <w:t xml:space="preserve">$ 2,309</w:t>
            </w:r>
          </w:p>
        </w:tc>
        <w:tc>
          <w:tcPr>
            <w:tcW w:w="5000" w:type="pct"/>
          </w:tcPr>
          <w:p>
            <w:pPr/>
            <w:r>
              <w:rPr>
                <w:rFonts w:ascii="Arial" w:hAnsi="Arial" w:eastAsia="Arial" w:cs="Arial"/>
                <w:color w:val="000000"/>
                <w:sz w:val="18"/>
                <w:szCs w:val="18"/>
              </w:rPr>
              <w:t xml:space="preserve">$ 959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Enero 15, 29			Febrero 12, 26			Marzo 19			Abril 2, 9, 23, 30</w:t>
            </w:r>
          </w:p>
        </w:tc>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$ 1,679</w:t>
            </w:r>
          </w:p>
        </w:tc>
        <w:tc>
          <w:tcPr>
            <w:tcW w:w="5000" w:type="pct"/>
          </w:tcPr>
          <w:p>
            <w:pPr/>
            <w:r>
              <w:rPr>
                <w:rFonts w:ascii="Arial" w:hAnsi="Arial" w:eastAsia="Arial" w:cs="Arial"/>
                <w:color w:val="000000"/>
                <w:sz w:val="18"/>
                <w:szCs w:val="18"/>
              </w:rPr>
              <w:t xml:space="preserve">$ 1,709</w:t>
            </w:r>
          </w:p>
        </w:tc>
        <w:tc>
          <w:tcPr>
            <w:tcW w:w="5000" w:type="pct"/>
          </w:tcPr>
          <w:p>
            <w:pPr/>
            <w:r>
              <w:rPr>
                <w:rFonts w:ascii="Arial" w:hAnsi="Arial" w:eastAsia="Arial" w:cs="Arial"/>
                <w:color w:val="000000"/>
                <w:sz w:val="18"/>
                <w:szCs w:val="18"/>
              </w:rPr>
              <w:t xml:space="preserve">$ 2,359</w:t>
            </w:r>
          </w:p>
        </w:tc>
        <w:tc>
          <w:tcPr>
            <w:tcW w:w="5000" w:type="pct"/>
          </w:tcPr>
          <w:p>
            <w:pPr/>
            <w:r>
              <w:rPr>
                <w:rFonts w:ascii="Arial" w:hAnsi="Arial" w:eastAsia="Arial" w:cs="Arial"/>
                <w:color w:val="000000"/>
                <w:sz w:val="18"/>
                <w:szCs w:val="18"/>
              </w:rPr>
              <w:t xml:space="preserve">$ 959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  Precios indicados en USD, pagaderos en Moneda Nacional al tipo de cambio del día. - </w:t>
      </w:r>
      <w:r>
        <w:rPr>
          <w:rFonts w:ascii="Arial" w:hAnsi="Arial" w:eastAsia="Arial" w:cs="Arial"/>
          <w:color w:val="000000"/>
          <w:sz w:val="18"/>
          <w:szCs w:val="18"/>
        </w:rPr>
        <w:t xml:space="preserve">Los precios cambian constantemente, así que te sugerimos la verificación de estos, y no utilizar este documento como definitivo. -  Consulta suplemento por temporada alta. -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Hilton San Francisco Union Square</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Express - Lompoc</w:t>
            </w:r>
          </w:p>
        </w:tc>
        <w:tc>
          <w:tcPr>
            <w:tcW w:w="5000" w:type="pct"/>
          </w:tcPr>
          <w:p>
            <w:pPr/>
            <w:r>
              <w:rPr>
                <w:rFonts w:ascii="Arial" w:hAnsi="Arial" w:eastAsia="Arial" w:cs="Arial"/>
                <w:color w:val="000000"/>
                <w:sz w:val="18"/>
                <w:szCs w:val="18"/>
              </w:rPr>
              <w:t xml:space="preserve">Lopoc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Westin Bonaventure Hotel </w:t>
            </w:r>
            <w:r>
              <w:rPr>
                <w:rFonts w:ascii="Arial" w:hAnsi="Arial" w:eastAsia="Arial" w:cs="Arial"/>
                <w:color w:val="000000"/>
                <w:sz w:val="18"/>
                <w:szCs w:val="18"/>
              </w:rPr>
              <w:t xml:space="preserve">amp; Suites</w:t>
            </w:r>
          </w:p>
        </w:tc>
        <w:tc>
          <w:tcPr>
            <w:tcW w:w="5000" w:type="pct"/>
          </w:tcPr>
          <w:p>
            <w:pPr/>
            <w:r>
              <w:rPr>
                <w:rFonts w:ascii="Arial" w:hAnsi="Arial" w:eastAsia="Arial" w:cs="Arial"/>
                <w:color w:val="000000"/>
                <w:sz w:val="18"/>
                <w:szCs w:val="18"/>
              </w:rPr>
              <w:t xml:space="preserve">Los </w:t>
            </w:r>
            <w:r>
              <w:rPr>
                <w:rFonts w:ascii="Arial" w:hAnsi="Arial" w:eastAsia="Arial" w:cs="Arial"/>
                <w:color w:val="000000"/>
                <w:sz w:val="18"/>
                <w:szCs w:val="18"/>
              </w:rPr>
              <w:t xml:space="preserve">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México-San Francisco-Los Ángeles-México</w:t>
      </w:r>
    </w:p>
    <w:p>
      <w:pPr>
        <w:jc w:val="start"/>
      </w:pPr>
      <w:r>
        <w:rPr>
          <w:rFonts w:ascii="Arial" w:hAnsi="Arial" w:eastAsia="Arial" w:cs="Arial"/>
          <w:sz w:val="18"/>
          <w:szCs w:val="18"/>
        </w:rPr>
        <w:t xml:space="preserve">  ● Traslado de llegada y salida </w:t>
      </w:r>
    </w:p>
    <w:p>
      <w:pPr>
        <w:jc w:val="start"/>
      </w:pPr>
      <w:r>
        <w:rPr>
          <w:rFonts w:ascii="Arial" w:hAnsi="Arial" w:eastAsia="Arial" w:cs="Arial"/>
          <w:sz w:val="18"/>
          <w:szCs w:val="18"/>
        </w:rPr>
        <w:t xml:space="preserve">  ● 02 noches de hospedaje en San Francisco</w:t>
      </w:r>
    </w:p>
    <w:p>
      <w:pPr>
        <w:jc w:val="start"/>
      </w:pPr>
      <w:r>
        <w:rPr>
          <w:rFonts w:ascii="Arial" w:hAnsi="Arial" w:eastAsia="Arial" w:cs="Arial"/>
          <w:sz w:val="18"/>
          <w:szCs w:val="18"/>
        </w:rPr>
        <w:t xml:space="preserve">  ● 01 noche de alojamiento en Lompoc </w:t>
      </w:r>
    </w:p>
    <w:p>
      <w:pPr>
        <w:jc w:val="start"/>
      </w:pPr>
      <w:r>
        <w:rPr>
          <w:rFonts w:ascii="Arial" w:hAnsi="Arial" w:eastAsia="Arial" w:cs="Arial"/>
          <w:sz w:val="18"/>
          <w:szCs w:val="18"/>
        </w:rPr>
        <w:t xml:space="preserve">  ● 02 noches de hospedaje en Los Ángeles</w:t>
      </w:r>
    </w:p>
    <w:p>
      <w:pPr>
        <w:jc w:val="start"/>
      </w:pPr>
      <w:r>
        <w:rPr>
          <w:rFonts w:ascii="Arial" w:hAnsi="Arial" w:eastAsia="Arial" w:cs="Arial"/>
          <w:sz w:val="18"/>
          <w:szCs w:val="18"/>
        </w:rPr>
        <w:t xml:space="preserve">  ● 05 desayunos americanos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$299 USD POR PERSONA</w:t>
      </w:r>
    </w:p>
    <w:p>
      <w:pPr>
        <w:jc w:val="start"/>
      </w:pPr>
      <w:r>
        <w:rPr>
          <w:rFonts w:ascii="Arial" w:hAnsi="Arial" w:eastAsia="Arial" w:cs="Arial"/>
          <w:sz w:val="18"/>
          <w:szCs w:val="18"/>
        </w:rPr>
        <w:t xml:space="preserve">  ● Gastos personales, Seguros de asistencia, Servicios no especificados. Equipaje documentado y asientos. Algunos hoteles pueden cobrar un resort fee al pasajero directo en el destino, dependiendo del hotel va de 13 hasta 52 usd por noche por habitación.</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51007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AB0B1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18C797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mxh"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2025-01-18T03:04:54-06:00</dcterms:created>
  <dcterms:modified xsi:type="dcterms:W3CDTF">2025-01-18T03:04:54-06:00</dcterms:modified>
</cp:coreProperties>
</file>

<file path=docProps/custom.xml><?xml version="1.0" encoding="utf-8"?>
<Properties xmlns="http://schemas.openxmlformats.org/officeDocument/2006/custom-properties" xmlns:vt="http://schemas.openxmlformats.org/officeDocument/2006/docPropsVTypes"/>
</file>