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Magnifico con New York</w:t>
      </w:r>
    </w:p>
    <w:p>
      <w:pPr>
        <w:jc w:val="start"/>
      </w:pPr>
      <w:r>
        <w:rPr>
          <w:rFonts w:ascii="Arial" w:hAnsi="Arial" w:eastAsia="Arial" w:cs="Arial"/>
          <w:sz w:val="22.5"/>
          <w:szCs w:val="22.5"/>
          <w:b w:val="1"/>
          <w:bCs w:val="1"/>
        </w:rPr>
        <w:t xml:space="preserve">MT-42895  </w:t>
      </w:r>
      <w:r>
        <w:rPr>
          <w:rFonts w:ascii="Arial" w:hAnsi="Arial" w:eastAsia="Arial" w:cs="Arial"/>
          <w:sz w:val="22.5"/>
          <w:szCs w:val="22.5"/>
        </w:rPr>
        <w:t xml:space="preserve">- Web: </w:t>
      </w:r>
      <w:hyperlink r:id="rId7" w:history="1">
        <w:r>
          <w:rPr>
            <w:color w:val="blue"/>
          </w:rPr>
          <w:t xml:space="preserve">https://viaje.mt/ccgn</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$2359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Marzo 7, 21</w:t>
      </w:r>
      <w:br/>
      <w:r>
        <w:rPr>
          <w:rFonts w:ascii="Arial" w:hAnsi="Arial" w:eastAsia="Arial" w:cs="Arial"/>
          <w:sz w:val="22.5"/>
          <w:szCs w:val="22.5"/>
        </w:rPr>
        <w:t xml:space="preserve">Abril 4, 18</w:t>
      </w:r>
      <w:br/>
      <w:r>
        <w:rPr>
          <w:rFonts w:ascii="Arial" w:hAnsi="Arial" w:eastAsia="Arial" w:cs="Arial"/>
          <w:sz w:val="22.5"/>
          <w:szCs w:val="22.5"/>
        </w:rPr>
        <w:t xml:space="preserve">Mayo 2, 16, 30</w:t>
      </w:r>
      <w:br/>
      <w:r>
        <w:rPr>
          <w:rFonts w:ascii="Arial" w:hAnsi="Arial" w:eastAsia="Arial" w:cs="Arial"/>
          <w:sz w:val="22.5"/>
          <w:szCs w:val="22.5"/>
        </w:rPr>
        <w:t xml:space="preserve">Junio 6, 13, 20, 27</w:t>
      </w:r>
      <w:br/>
      <w:r>
        <w:rPr>
          <w:rFonts w:ascii="Arial" w:hAnsi="Arial" w:eastAsia="Arial" w:cs="Arial"/>
          <w:sz w:val="22.5"/>
          <w:szCs w:val="22.5"/>
        </w:rPr>
        <w:t xml:space="preserve">Julio 4, 11, 18, 25</w:t>
      </w:r>
      <w:br/>
      <w:r>
        <w:rPr>
          <w:rFonts w:ascii="Arial" w:hAnsi="Arial" w:eastAsia="Arial" w:cs="Arial"/>
          <w:sz w:val="22.5"/>
          <w:szCs w:val="22.5"/>
        </w:rPr>
        <w:t xml:space="preserve">Agosto 1, 8, 15, 22, 29</w:t>
      </w:r>
      <w:br/>
      <w:r>
        <w:rPr>
          <w:rFonts w:ascii="Arial" w:hAnsi="Arial" w:eastAsia="Arial" w:cs="Arial"/>
          <w:sz w:val="22.5"/>
          <w:szCs w:val="22.5"/>
        </w:rPr>
        <w:t xml:space="preserve">Septiembre 5, 12, 19, 26</w:t>
      </w:r>
      <w:br/>
      <w:r>
        <w:rPr>
          <w:rFonts w:ascii="Arial" w:hAnsi="Arial" w:eastAsia="Arial" w:cs="Arial"/>
          <w:sz w:val="22.5"/>
          <w:szCs w:val="22.5"/>
        </w:rPr>
        <w:t xml:space="preserve">Octubre 3,17</w:t>
      </w:r>
      <w:br/>
      <w:r>
        <w:rPr>
          <w:rFonts w:ascii="Arial" w:hAnsi="Arial" w:eastAsia="Arial" w:cs="Arial"/>
          <w:sz w:val="22.5"/>
          <w:szCs w:val="22.5"/>
        </w:rPr>
        <w:t xml:space="preserve">Diciembre 12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6, 20</w:t>
      </w:r>
      <w:br/>
      <w:r>
        <w:rPr>
          <w:rFonts w:ascii="Arial" w:hAnsi="Arial" w:eastAsia="Arial" w:cs="Arial"/>
          <w:sz w:val="22.5"/>
          <w:szCs w:val="22.5"/>
        </w:rPr>
        <w:t xml:space="preserve">Abril 3, 17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Boston, Quebec, Montreal, Ottawa, Toronto, Niagara Falls, Washington, Lancaster, Philadelphia.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New York. Recepción en el aeropuerto y traslado al hotel. Resto del día libre para conocer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BOSTON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partimos rumbo a Boston, vía el estado de Connecticut. Llegando a Boston iniciamos nuestra visita de la ciudad: la Plaza Copley donde se encuentran la iglesia de la Trinidad, el Edificio Hancock, la Biblioteca de la ciudad, la Universidad de Harvard, el barrio de Back Bay y el Mercado Quincy. Finalizado el tour nos dirigimos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BOSTON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partimos hacia la ciudad amurallada de Quebec, acompantilde;ados por el bello paisaje que son los montes Apalaches a través de los Estados de New Hampshire y Vermont. Se llega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Es responsabilidad del pasajero de tener la documentación necesaria para ingresar a Canadá. Para más información contactar al Consulado Canadiense.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visitaremos la histórica ciudad de Quebec, las más vieja de esta nación. Visita panorámica: la Universidad de Laval, monumentos históricos, la Citadel y otros puntos de interés. Luego del almuerzo (no incluido) partiremos hacia la ciudad de Montreal.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MONTREAL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 tiempo de almorzar antes de continuar Viaje a Ottawa. En el camino haremos parada en el Parc Omega donde tendrán la oportunidad de ver la fauna de Canadá muy de cerca. Terminando en el Parc Omega, continuamos a Ottawa.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06OTTAWA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Comenzamos nuestra visita a la ciudad Capital de Canadá, visitando El Parlamento (en Verano veremos el Cambio de Guardia) , barrios residenciales, mansiones del Primer Ministro y el Gobernador General, las residencias de los embajadores, la Corte Suprema y otros puntos de interés. Luego del almuerzo (no incluido) salida hacia Brockville para disfrutar de un pequentilde;o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St.Lawrence, el canal de agua dulce más largo del mundo. Continuación del viaje en autobús hacia Toronto.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ensuentilde;o que es Niagara on the Lake , la primera capital que tuvo Canadá. Recorremos el área vitivinícola del Niagara y comenzaremos el tour por la zona, visitando el reloj floral; el remolino sobre el cual viaja el carro aéreo espantilde;ol. Paseo en el barco Hornblower (Mayo a Octubre) o los túneles escénicos (Octubre a Mayo).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NIAGARA FALLS  -  WASHINGTON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Hoy partimos hacia Washington. El camino nos llevara por los Estados de New York y Pennsylvania atravesando los montes Apalaches. Luego continuamos nuestro viaje para llegar a la ciudad capital de EEUU, Washington DC en las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WASHINGTON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10WASHINGTON  -  LANCASTER  -  PHILADELPHIA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Benjamin Franklin con parada frente al Museo de Arte y la Campana de la Libertad. Continuamos nuestro viaje a Nueva York.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7,21			Abril 4,18</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$ 2,559</w:t>
            </w:r>
          </w:p>
        </w:tc>
        <w:tc>
          <w:tcPr>
            <w:tcW w:w="5000" w:type="pct"/>
          </w:tcPr>
          <w:p>
            <w:pPr/>
            <w:r>
              <w:rPr>
                <w:rFonts w:ascii="Arial" w:hAnsi="Arial" w:eastAsia="Arial" w:cs="Arial"/>
                <w:color w:val="000000"/>
                <w:sz w:val="18"/>
                <w:szCs w:val="18"/>
              </w:rPr>
              <w:t xml:space="preserve">$ 2,899</w:t>
            </w:r>
          </w:p>
        </w:tc>
        <w:tc>
          <w:tcPr>
            <w:tcW w:w="5000" w:type="pct"/>
          </w:tcPr>
          <w:p>
            <w:pPr/>
            <w:r>
              <w:rPr>
                <w:rFonts w:ascii="Arial" w:hAnsi="Arial" w:eastAsia="Arial" w:cs="Arial"/>
                <w:color w:val="000000"/>
                <w:sz w:val="18"/>
                <w:szCs w:val="18"/>
              </w:rPr>
              <w:t xml:space="preserve">$ 4,139</w:t>
            </w:r>
          </w:p>
        </w:tc>
        <w:tc>
          <w:tcPr>
            <w:tcW w:w="5000" w:type="pct"/>
          </w:tcPr>
          <w:p>
            <w:pPr/>
            <w:r>
              <w:rPr>
                <w:rFonts w:ascii="Arial" w:hAnsi="Arial" w:eastAsia="Arial" w:cs="Arial"/>
                <w:color w:val="000000"/>
                <w:sz w:val="18"/>
                <w:szCs w:val="18"/>
              </w:rPr>
              <w:t xml:space="preserve">$ 1,459</w:t>
            </w:r>
          </w:p>
        </w:tc>
      </w:tr>
      <w:tr>
        <w:trPr/>
        <w:tc>
          <w:tcPr>
            <w:tcW w:w="5000" w:type="pct"/>
          </w:tcPr>
          <w:p>
            <w:pPr/>
            <w:r>
              <w:rPr>
                <w:rFonts w:ascii="Arial" w:hAnsi="Arial" w:eastAsia="Arial" w:cs="Arial"/>
                <w:color w:val="000000"/>
                <w:sz w:val="18"/>
                <w:szCs w:val="18"/>
              </w:rPr>
              <w:t xml:space="preserve">Mayo 2, 16, 30			Junio 6, 13, 20, 27			Septiembre 5,12,19,26			Octubre 3, 17			Diciembre 12</w:t>
            </w:r>
          </w:p>
        </w:tc>
        <w:tc>
          <w:tcPr>
            <w:tcW w:w="5000" w:type="pct"/>
          </w:tcPr>
          <w:p>
            <w:pPr/>
            <w:r>
              <w:rPr>
                <w:rFonts w:ascii="Arial" w:hAnsi="Arial" w:eastAsia="Arial" w:cs="Arial"/>
                <w:color w:val="000000"/>
                <w:sz w:val="18"/>
                <w:szCs w:val="18"/>
              </w:rPr>
              <w:t xml:space="preserve">$2,489</w:t>
            </w:r>
          </w:p>
        </w:tc>
        <w:tc>
          <w:tcPr>
            <w:tcW w:w="5000" w:type="pct"/>
          </w:tcPr>
          <w:p>
            <w:pPr/>
            <w:r>
              <w:rPr>
                <w:rFonts w:ascii="Arial" w:hAnsi="Arial" w:eastAsia="Arial" w:cs="Arial"/>
                <w:color w:val="000000"/>
                <w:sz w:val="18"/>
                <w:szCs w:val="18"/>
              </w:rPr>
              <w:t xml:space="preserve">$2,809</w:t>
            </w:r>
          </w:p>
        </w:tc>
        <w:tc>
          <w:tcPr>
            <w:tcW w:w="5000" w:type="pct"/>
          </w:tcPr>
          <w:p>
            <w:pPr/>
            <w:r>
              <w:rPr>
                <w:rFonts w:ascii="Arial" w:hAnsi="Arial" w:eastAsia="Arial" w:cs="Arial"/>
                <w:color w:val="000000"/>
                <w:sz w:val="18"/>
                <w:szCs w:val="18"/>
              </w:rPr>
              <w:t xml:space="preserve">$3,019</w:t>
            </w:r>
          </w:p>
        </w:tc>
        <w:tc>
          <w:tcPr>
            <w:tcW w:w="5000" w:type="pct"/>
          </w:tcPr>
          <w:p>
            <w:pPr/>
            <w:r>
              <w:rPr>
                <w:rFonts w:ascii="Arial" w:hAnsi="Arial" w:eastAsia="Arial" w:cs="Arial"/>
                <w:color w:val="000000"/>
                <w:sz w:val="18"/>
                <w:szCs w:val="18"/>
              </w:rPr>
              <w:t xml:space="preserve">$4,359</w:t>
            </w:r>
          </w:p>
        </w:tc>
        <w:tc>
          <w:tcPr>
            <w:tcW w:w="5000" w:type="pct"/>
          </w:tcPr>
          <w:p>
            <w:pPr/>
            <w:r>
              <w:rPr>
                <w:rFonts w:ascii="Arial" w:hAnsi="Arial" w:eastAsia="Arial" w:cs="Arial"/>
                <w:color w:val="000000"/>
                <w:sz w:val="18"/>
                <w:szCs w:val="18"/>
              </w:rPr>
              <w:t xml:space="preserve">$1,619</w:t>
            </w:r>
          </w:p>
        </w:tc>
      </w:tr>
      <w:tr>
        <w:trPr/>
        <w:tc>
          <w:tcPr>
            <w:tcW w:w="5000" w:type="pct"/>
          </w:tcPr>
          <w:p>
            <w:pPr/>
            <w:r>
              <w:rPr>
                <w:rFonts w:ascii="Arial" w:hAnsi="Arial" w:eastAsia="Arial" w:cs="Arial"/>
                <w:color w:val="000000"/>
                <w:sz w:val="18"/>
                <w:szCs w:val="18"/>
              </w:rPr>
              <w:t xml:space="preserve">Julio 4, 11, 18, 25			Agosto 1, 8, 15, 22, 29</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$2,719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$4,189</w:t>
            </w:r>
          </w:p>
        </w:tc>
        <w:tc>
          <w:tcPr>
            <w:tcW w:w="5000" w:type="pct"/>
          </w:tcPr>
          <w:p>
            <w:pPr/>
            <w:r>
              <w:rPr>
                <w:rFonts w:ascii="Arial" w:hAnsi="Arial" w:eastAsia="Arial" w:cs="Arial"/>
                <w:color w:val="000000"/>
                <w:sz w:val="18"/>
                <w:szCs w:val="18"/>
              </w:rPr>
              <w:t xml:space="preserve">$1,619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6, 20			Abril 3, 17</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$2,719</w:t>
            </w:r>
          </w:p>
        </w:tc>
        <w:tc>
          <w:tcPr>
            <w:tcW w:w="5000" w:type="pct"/>
          </w:tcPr>
          <w:p>
            <w:pPr/>
            <w:r>
              <w:rPr>
                <w:rFonts w:ascii="Arial" w:hAnsi="Arial" w:eastAsia="Arial" w:cs="Arial"/>
                <w:color w:val="000000"/>
                <w:sz w:val="18"/>
                <w:szCs w:val="18"/>
              </w:rPr>
              <w:t xml:space="preserve">$2,929</w:t>
            </w:r>
          </w:p>
        </w:tc>
        <w:tc>
          <w:tcPr>
            <w:tcW w:w="5000" w:type="pct"/>
          </w:tcPr>
          <w:p>
            <w:pPr/>
            <w:r>
              <w:rPr>
                <w:rFonts w:ascii="Arial" w:hAnsi="Arial" w:eastAsia="Arial" w:cs="Arial"/>
                <w:color w:val="000000"/>
                <w:sz w:val="18"/>
                <w:szCs w:val="18"/>
              </w:rPr>
              <w:t xml:space="preserve">$4,189</w:t>
            </w:r>
          </w:p>
        </w:tc>
        <w:tc>
          <w:tcPr>
            <w:tcW w:w="5000" w:type="pct"/>
          </w:tcPr>
          <w:p>
            <w:pPr/>
            <w:r>
              <w:rPr>
                <w:rFonts w:ascii="Arial" w:hAnsi="Arial" w:eastAsia="Arial" w:cs="Arial"/>
                <w:color w:val="000000"/>
                <w:sz w:val="18"/>
                <w:szCs w:val="18"/>
              </w:rPr>
              <w:t xml:space="preserve">$1,619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The New Yorker, A Wyndham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Courtyard By Marriott Woburn/Boston North</w:t>
            </w:r>
          </w:p>
        </w:tc>
        <w:tc>
          <w:tcPr>
            <w:tcW w:w="5000" w:type="pct"/>
          </w:tcPr>
          <w:p>
            <w:pPr/>
            <w:r>
              <w:rPr>
                <w:rFonts w:ascii="Arial" w:hAnsi="Arial" w:eastAsia="Arial" w:cs="Arial"/>
                <w:color w:val="000000"/>
                <w:sz w:val="18"/>
                <w:szCs w:val="18"/>
              </w:rPr>
              <w:t xml:space="preserve">Woburn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Le Classique Ste-Foy</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Le Nouvel Hotel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Four Points Sheraton Gatinea-Ottawa</w:t>
            </w:r>
          </w:p>
        </w:tc>
        <w:tc>
          <w:tcPr>
            <w:tcW w:w="5000" w:type="pct"/>
          </w:tcPr>
          <w:p>
            <w:pPr/>
            <w:r>
              <w:rPr>
                <w:rFonts w:ascii="Arial" w:hAnsi="Arial" w:eastAsia="Arial" w:cs="Arial"/>
                <w:color w:val="000000"/>
                <w:sz w:val="18"/>
                <w:szCs w:val="18"/>
              </w:rPr>
              <w:t xml:space="preserve">Hull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Chelsea Toronto Hote</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The Oakes Hotel Overlooking The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Canada</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17/04/2026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de México-New York-México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New York</w:t>
      </w:r>
    </w:p>
    <w:p>
      <w:pPr>
        <w:jc w:val="start"/>
      </w:pPr>
      <w:r>
        <w:rPr>
          <w:rFonts w:ascii="Arial" w:hAnsi="Arial" w:eastAsia="Arial" w:cs="Arial"/>
          <w:sz w:val="18"/>
          <w:szCs w:val="18"/>
        </w:rPr>
        <w:t xml:space="preserve">  ● 01 noche de alojamiento en Boston</w:t>
      </w:r>
    </w:p>
    <w:p>
      <w:pPr>
        <w:jc w:val="start"/>
      </w:pPr>
      <w:r>
        <w:rPr>
          <w:rFonts w:ascii="Arial" w:hAnsi="Arial" w:eastAsia="Arial" w:cs="Arial"/>
          <w:sz w:val="18"/>
          <w:szCs w:val="18"/>
        </w:rPr>
        <w:t xml:space="preserve">  ● 01 noche de alojamiento en Quebec</w:t>
      </w:r>
    </w:p>
    <w:p>
      <w:pPr>
        <w:jc w:val="start"/>
      </w:pPr>
      <w:r>
        <w:rPr>
          <w:rFonts w:ascii="Arial" w:hAnsi="Arial" w:eastAsia="Arial" w:cs="Arial"/>
          <w:sz w:val="18"/>
          <w:szCs w:val="18"/>
        </w:rPr>
        <w:t xml:space="preserve">  ● 01 noche de alojamiento en Montreal</w:t>
      </w:r>
    </w:p>
    <w:p>
      <w:pPr>
        <w:jc w:val="start"/>
      </w:pPr>
      <w:r>
        <w:rPr>
          <w:rFonts w:ascii="Arial" w:hAnsi="Arial" w:eastAsia="Arial" w:cs="Arial"/>
          <w:sz w:val="18"/>
          <w:szCs w:val="18"/>
        </w:rPr>
        <w:t xml:space="preserve">  ● 01 noche de alojamiento en Ottawa</w:t>
      </w:r>
    </w:p>
    <w:p>
      <w:pPr>
        <w:jc w:val="start"/>
      </w:pPr>
      <w:r>
        <w:rPr>
          <w:rFonts w:ascii="Arial" w:hAnsi="Arial" w:eastAsia="Arial" w:cs="Arial"/>
          <w:sz w:val="18"/>
          <w:szCs w:val="18"/>
        </w:rPr>
        <w:t xml:space="preserve">  ● 01 noche de alojamiento en Toronto</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Admisión al barco de Mil Islas - Opera de Mayo 1 a Octubre 31 - Fuera de temporada se visita el Museo de la civilización en Ottawa</w:t>
      </w:r>
    </w:p>
    <w:p>
      <w:pPr>
        <w:jc w:val="start"/>
      </w:pPr>
      <w:r>
        <w:rPr>
          <w:rFonts w:ascii="Arial" w:hAnsi="Arial" w:eastAsia="Arial" w:cs="Arial"/>
          <w:sz w:val="18"/>
          <w:szCs w:val="18"/>
        </w:rPr>
        <w:t xml:space="preserve">  ● 09 desayunos americanos</w:t>
      </w:r>
    </w:p>
    <w:p>
      <w:pPr>
        <w:jc w:val="start"/>
      </w:pPr>
      <w:r>
        <w:rPr>
          <w:rFonts w:ascii="Arial" w:hAnsi="Arial" w:eastAsia="Arial" w:cs="Arial"/>
          <w:sz w:val="18"/>
          <w:szCs w:val="18"/>
        </w:rPr>
        <w:t xml:space="preserve">  ● 01 desayuno continental</w:t>
      </w:r>
    </w:p>
    <w:p>
      <w:pPr>
        <w:jc w:val="start"/>
      </w:pPr>
      <w:r>
        <w:rPr>
          <w:rFonts w:ascii="Arial" w:hAnsi="Arial" w:eastAsia="Arial" w:cs="Arial"/>
          <w:sz w:val="18"/>
          <w:szCs w:val="18"/>
        </w:rPr>
        <w:t xml:space="preserve">  ● Hornblower Niagara Opera de Mayo a Octubre. Fuera de temporada será substituido por los túneles escénicos.</w:t>
      </w:r>
    </w:p>
    <w:p>
      <w:pPr>
        <w:jc w:val="start"/>
      </w:pPr>
      <w:r>
        <w:rPr>
          <w:rFonts w:ascii="Arial" w:hAnsi="Arial" w:eastAsia="Arial" w:cs="Arial"/>
          <w:sz w:val="18"/>
          <w:szCs w:val="18"/>
        </w:rPr>
        <w:t xml:space="preserve">  ● Visita Amish</w:t>
      </w:r>
    </w:p>
    <w:p>
      <w:pPr>
        <w:jc w:val="start"/>
      </w:pPr>
      <w:r>
        <w:rPr>
          <w:rFonts w:ascii="Arial" w:hAnsi="Arial" w:eastAsia="Arial" w:cs="Arial"/>
          <w:sz w:val="18"/>
          <w:szCs w:val="18"/>
        </w:rPr>
        <w:t xml:space="preserve">  ● Admisión al Parc Omega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4"/>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2F3B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06E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50168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517C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cg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2025-01-07T18:07:03-06:00</dcterms:created>
  <dcterms:modified xsi:type="dcterms:W3CDTF">2025-01-07T18:07:03-06:00</dcterms:modified>
</cp:coreProperties>
</file>

<file path=docProps/custom.xml><?xml version="1.0" encoding="utf-8"?>
<Properties xmlns="http://schemas.openxmlformats.org/officeDocument/2006/custom-properties" xmlns:vt="http://schemas.openxmlformats.org/officeDocument/2006/docPropsVTypes"/>
</file>