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7 noches</w:t>
      </w:r>
    </w:p>
    <w:p>
      <w:pPr>
        <w:jc w:val="start"/>
      </w:pPr>
      <w:r>
        <w:rPr>
          <w:rFonts w:ascii="Arial" w:hAnsi="Arial" w:eastAsia="Arial" w:cs="Arial"/>
          <w:sz w:val="22.5"/>
          <w:szCs w:val="22.5"/>
          <w:b w:val="1"/>
          <w:bCs w:val="1"/>
        </w:rPr>
        <w:t xml:space="preserve">MT-51008  </w:t>
      </w:r>
      <w:r>
        <w:rPr>
          <w:rFonts w:ascii="Arial" w:hAnsi="Arial" w:eastAsia="Arial" w:cs="Arial"/>
          <w:sz w:val="22.5"/>
          <w:szCs w:val="22.5"/>
        </w:rPr>
        <w:t xml:space="preserve">- Web: </w:t>
      </w:r>
      <w:hyperlink r:id="rId7" w:history="1">
        <w:r>
          <w:rPr>
            <w:color w:val="blue"/>
          </w:rPr>
          <w:t xml:space="preserve">https://viaje.mt/bupb</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$1538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01MéXICO  -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Punta Cana vía Panamá. Llegada, recepción y traslado al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PUNTA CANA  -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$2,358</w:t>
            </w:r>
          </w:p>
        </w:tc>
        <w:tc>
          <w:tcPr>
            <w:tcW w:w="5000" w:type="pct"/>
          </w:tcPr>
          <w:p>
            <w:pPr/>
            <w:r>
              <w:rPr>
                <w:rFonts w:ascii="Arial" w:hAnsi="Arial" w:eastAsia="Arial" w:cs="Arial"/>
                <w:color w:val="000000"/>
                <w:sz w:val="18"/>
                <w:szCs w:val="18"/>
              </w:rPr>
              <w:t xml:space="preserve">$ 1,198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$ 3,688</w:t>
            </w:r>
          </w:p>
        </w:tc>
        <w:tc>
          <w:tcPr>
            <w:tcW w:w="5000" w:type="pct"/>
          </w:tcPr>
          <w:p>
            <w:pPr/>
            <w:r>
              <w:rPr>
                <w:rFonts w:ascii="Arial" w:hAnsi="Arial" w:eastAsia="Arial" w:cs="Arial"/>
                <w:color w:val="000000"/>
                <w:sz w:val="18"/>
                <w:szCs w:val="18"/>
              </w:rPr>
              <w:t xml:space="preserve">$ 1,558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desde Mexico</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 Precios indicados en USD. -  Precios no aplican en semana santa, pascua, eventos especiales, carnaval, navidad y antilde;o nuevo. -  Tarifas validas con precompra de 07 dias.</w:t>
      </w:r>
      <w:r>
        <w:rPr>
          <w:rFonts w:ascii="Arial" w:hAnsi="Arial" w:eastAsia="Arial" w:cs="Arial"/>
          <w:color w:val="000000"/>
          <w:sz w:val="18"/>
          <w:szCs w:val="18"/>
        </w:rPr>
        <w:t xml:space="preserve">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Barcel</w:t>
            </w:r>
            <w:r>
              <w:rPr>
                <w:rFonts w:ascii="Arial" w:hAnsi="Arial" w:eastAsia="Arial" w:cs="Arial"/>
                <w:color w:val="000000"/>
                <w:sz w:val="18"/>
                <w:szCs w:val="18"/>
              </w:rPr>
              <w:t xml:space="preserve">ó B</w:t>
            </w:r>
            <w:r>
              <w:rPr>
                <w:rFonts w:ascii="Arial" w:hAnsi="Arial" w:eastAsia="Arial" w:cs="Arial"/>
                <w:color w:val="000000"/>
                <w:sz w:val="18"/>
                <w:szCs w:val="18"/>
              </w:rPr>
              <w:t xml:space="preserve">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Panamá – Punta Cana – Panamá – México.</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07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cancelacion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No hay preasignación de asientos.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o 2 ½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9C060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58BD0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A8949B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up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2025-01-16T21:22:22-06:00</dcterms:created>
  <dcterms:modified xsi:type="dcterms:W3CDTF">2025-01-16T21:22:22-06:00</dcterms:modified>
</cp:coreProperties>
</file>

<file path=docProps/custom.xml><?xml version="1.0" encoding="utf-8"?>
<Properties xmlns="http://schemas.openxmlformats.org/officeDocument/2006/custom-properties" xmlns:vt="http://schemas.openxmlformats.org/officeDocument/2006/docPropsVTypes"/>
</file>