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Argentina y Brasil</w:t>
      </w:r>
    </w:p>
    <w:p>
      <w:pPr>
        <w:jc w:val="start"/>
      </w:pPr>
      <w:r>
        <w:rPr>
          <w:rFonts w:ascii="Arial" w:hAnsi="Arial" w:eastAsia="Arial" w:cs="Arial"/>
          <w:sz w:val="22.5"/>
          <w:szCs w:val="22.5"/>
          <w:b w:val="1"/>
          <w:bCs w:val="1"/>
        </w:rPr>
        <w:t xml:space="preserve">MT-52041  </w:t>
      </w:r>
      <w:r>
        <w:rPr>
          <w:rFonts w:ascii="Arial" w:hAnsi="Arial" w:eastAsia="Arial" w:cs="Arial"/>
          <w:sz w:val="22.5"/>
          <w:szCs w:val="22.5"/>
        </w:rPr>
        <w:t xml:space="preserve">- Web: </w:t>
      </w:r>
      <w:hyperlink r:id="rId7" w:history="1">
        <w:r>
          <w:rPr>
            <w:color w:val="blue"/>
          </w:rPr>
          <w:t xml:space="preserve">https://viaje.mt/Ltu5v</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$2938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Río de Janeiro, Brasil,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para dejar sus pertenencias. Más tarde,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$ 4,538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$ 3,768</w:t>
            </w:r>
          </w:p>
        </w:tc>
        <w:tc>
          <w:tcPr>
            <w:tcW w:w="5000" w:type="pct"/>
          </w:tcPr>
          <w:p>
            <w:pPr/>
            <w:r>
              <w:rPr>
                <w:rFonts w:ascii="Arial" w:hAnsi="Arial" w:eastAsia="Arial" w:cs="Arial"/>
                <w:color w:val="000000"/>
                <w:sz w:val="18"/>
                <w:szCs w:val="18"/>
              </w:rPr>
              <w:t xml:space="preserve">$ 5,698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Río de Janeiro – Iguazú // Buenos Aires – México.</w:t>
      </w:r>
    </w:p>
    <w:p>
      <w:pPr>
        <w:jc w:val="start"/>
      </w:pPr>
      <w:r>
        <w:rPr>
          <w:rFonts w:ascii="Arial" w:hAnsi="Arial" w:eastAsia="Arial" w:cs="Arial"/>
          <w:sz w:val="18"/>
          <w:szCs w:val="18"/>
        </w:rPr>
        <w:t xml:space="preserve">  ● Boleto de avión en Iguazú – Buenos Aires – Bariloche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Copa Airlines y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numPr>
          <w:ilvl w:val="0"/>
          <w:numId w:val="3"/>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3"/>
        </w:numPr>
      </w:pPr>
      <w:r>
        <w:rPr>
          <w:rFonts w:ascii="Arial" w:hAnsi="Arial" w:eastAsia="Arial" w:cs="Arial"/>
          <w:sz w:val="18"/>
          <w:szCs w:val="18"/>
        </w:rPr>
        <w:t xml:space="preserve">Es responsabilidad del pasajero cumplir con todos los requisitos de entrada exigidos por las autoridades brasileñas.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9A7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F33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A0A1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4414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tu5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2025-09-16T09:34:00-06:00</dcterms:created>
  <dcterms:modified xsi:type="dcterms:W3CDTF">2025-09-16T09:34:00-06:00</dcterms:modified>
</cp:coreProperties>
</file>

<file path=docProps/custom.xml><?xml version="1.0" encoding="utf-8"?>
<Properties xmlns="http://schemas.openxmlformats.org/officeDocument/2006/custom-properties" xmlns:vt="http://schemas.openxmlformats.org/officeDocument/2006/docPropsVTypes"/>
</file>