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Brasileiro</w:t>
      </w:r>
    </w:p>
    <w:p>
      <w:pPr>
        <w:jc w:val="start"/>
      </w:pPr>
      <w:r>
        <w:rPr>
          <w:rFonts w:ascii="Arial" w:hAnsi="Arial" w:eastAsia="Arial" w:cs="Arial"/>
          <w:sz w:val="22.5"/>
          <w:szCs w:val="22.5"/>
          <w:b w:val="1"/>
          <w:bCs w:val="1"/>
        </w:rPr>
        <w:t xml:space="preserve">MT-52068  </w:t>
      </w:r>
      <w:r>
        <w:rPr>
          <w:rFonts w:ascii="Arial" w:hAnsi="Arial" w:eastAsia="Arial" w:cs="Arial"/>
          <w:sz w:val="22.5"/>
          <w:szCs w:val="22.5"/>
        </w:rPr>
        <w:t xml:space="preserve">- Web: </w:t>
      </w:r>
      <w:hyperlink r:id="rId7" w:history="1">
        <w:r>
          <w:rPr>
            <w:color w:val="blue"/>
          </w:rPr>
          <w:t xml:space="preserve">https://viaje.mt/duw</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$1898 </w:t>
      </w:r>
      <w:r>
        <w:rPr>
          <w:rFonts w:ascii="Arial" w:hAnsi="Arial" w:eastAsia="Arial" w:cs="Arial"/>
          <w:sz w:val="25.5"/>
          <w:szCs w:val="25.5"/>
          <w:vertAlign w:val="superscript"/>
        </w:rPr>
        <w:t xml:space="preserve">USD</w:t>
      </w:r>
      <w:r>
        <w:rPr>
          <w:rFonts w:ascii="Arial" w:hAnsi="Arial" w:eastAsia="Arial" w:cs="Arial"/>
          <w:sz w:val="33"/>
          <w:szCs w:val="33"/>
        </w:rPr>
        <w:t xml:space="preserve"> | DBL + 579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Sao Paulo, Salvador de Bahía,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Llegada al aeropuerto de Sao Paulo,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conoceremos Sao Paulo en un tour de medio día visitando los atractivos más importantes de la ciudad y conociendo sobre algunos de los secretos de Satilde;o Paulo. Pasearemos por los lugares más tradicionales de la ciudad, empezando por la estación de tren lsquo;Estación de la Luzrsquo;, inaugurada en 1867 y conocida por su belleza arquitectónica. Luego seguiremos a la Catedral da Sé, con su arquitectura única. También pasaremos por el Teatro Municipal, que tiene 108 antilde;os de historia y es considerado el teatro de ópera más grande de Brasil. Además, visitaremos el mirador de Santander y el Parque Ibirapuera, una de las zonas verdes, culturales y de ocio más importantes de la ciudad. Regreso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la ciudad de Salvador de Bahía.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$ 2,848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$ 2,258</w:t>
            </w:r>
          </w:p>
        </w:tc>
        <w:tc>
          <w:tcPr>
            <w:tcW w:w="5000" w:type="pct"/>
          </w:tcPr>
          <w:p>
            <w:pPr/>
            <w:r>
              <w:rPr>
                <w:rFonts w:ascii="Arial" w:hAnsi="Arial" w:eastAsia="Arial" w:cs="Arial"/>
                <w:color w:val="000000"/>
                <w:sz w:val="18"/>
                <w:szCs w:val="18"/>
              </w:rPr>
              <w:t xml:space="preserve">$ 3,468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$ 4,298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$ 579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PERGAMON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BLUE TREE PAULISTA</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QOYA CURIO COLLECTION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Río de Janeiro – Sao Paulo – México.</w:t>
      </w:r>
    </w:p>
    <w:p>
      <w:pPr>
        <w:jc w:val="start"/>
      </w:pPr>
      <w:r>
        <w:rPr>
          <w:rFonts w:ascii="Arial" w:hAnsi="Arial" w:eastAsia="Arial" w:cs="Arial"/>
          <w:sz w:val="18"/>
          <w:szCs w:val="18"/>
        </w:rPr>
        <w:t xml:space="preserve">  ● 03 noches de alojamiento en Sao Paulo en hoteles de categoría elegida.</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16A9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02F7D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0B3B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2025-01-06T14:09:38-06:00</dcterms:created>
  <dcterms:modified xsi:type="dcterms:W3CDTF">2025-01-06T14:09:38-06:00</dcterms:modified>
</cp:coreProperties>
</file>

<file path=docProps/custom.xml><?xml version="1.0" encoding="utf-8"?>
<Properties xmlns="http://schemas.openxmlformats.org/officeDocument/2006/custom-properties" xmlns:vt="http://schemas.openxmlformats.org/officeDocument/2006/docPropsVTypes"/>
</file>