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Bogotá y el Caribe</w:t>
      </w:r>
    </w:p>
    <w:p>
      <w:pPr>
        <w:jc w:val="start"/>
      </w:pPr>
      <w:r>
        <w:rPr>
          <w:rFonts w:ascii="Arial" w:hAnsi="Arial" w:eastAsia="Arial" w:cs="Arial"/>
          <w:sz w:val="22.5"/>
          <w:szCs w:val="22.5"/>
          <w:b w:val="1"/>
          <w:bCs w:val="1"/>
        </w:rPr>
        <w:t xml:space="preserve">MT-52186  </w:t>
      </w:r>
      <w:r>
        <w:rPr>
          <w:rFonts w:ascii="Arial" w:hAnsi="Arial" w:eastAsia="Arial" w:cs="Arial"/>
          <w:sz w:val="22.5"/>
          <w:szCs w:val="22.5"/>
        </w:rPr>
        <w:t xml:space="preserve">- Web: </w:t>
      </w:r>
      <w:hyperlink r:id="rId7" w:history="1">
        <w:r>
          <w:rPr>
            <w:color w:val="blue"/>
          </w:rPr>
          <w:t xml:space="preserve">https://viaje.mt/cyd</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$1658 </w:t>
      </w:r>
      <w:r>
        <w:rPr>
          <w:rFonts w:ascii="Arial" w:hAnsi="Arial" w:eastAsia="Arial" w:cs="Arial"/>
          <w:sz w:val="25.5"/>
          <w:szCs w:val="25.5"/>
          <w:vertAlign w:val="superscript"/>
        </w:rPr>
        <w:t xml:space="preserve">USD</w:t>
      </w:r>
      <w:r>
        <w:rPr>
          <w:rFonts w:ascii="Arial" w:hAnsi="Arial" w:eastAsia="Arial" w:cs="Arial"/>
          <w:sz w:val="33"/>
          <w:szCs w:val="33"/>
        </w:rPr>
        <w:t xml:space="preserve"> | DBL + 469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Cartagena, San Andrés.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BOGOTÁ – Visita de Ciudad con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SAN ANDRÉS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El Dorado de Bogotá para tomar vuelo con destino a la Isla de San Andrés. Recibimiento en el aeropuerto de San Andrés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No incluye tarjeta de turismo de entrada a la isla de aproximadamente USD 40 por persona pago directo en destino en pesos colombianos.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SAN ANDRÉS – Vuelta a la Isla de San Andrés</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con la disponibilidad.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SAN ANDRÉS – Excursión a Johnny Cay, y Acuario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con destino a la Ciudad de Cartagena. Llegada, recepción y traslado del aeropuerto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Atolón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$ 2,168</w:t>
            </w:r>
          </w:p>
        </w:tc>
        <w:tc>
          <w:tcPr>
            <w:tcW w:w="5000" w:type="pct"/>
          </w:tcPr>
          <w:p>
            <w:pPr/>
            <w:r>
              <w:rPr>
                <w:rFonts w:ascii="Arial" w:hAnsi="Arial" w:eastAsia="Arial" w:cs="Arial"/>
                <w:color w:val="000000"/>
                <w:sz w:val="18"/>
                <w:szCs w:val="18"/>
              </w:rPr>
              <w:t xml:space="preserve">$ 3,118</w:t>
            </w:r>
          </w:p>
        </w:tc>
        <w:tc>
          <w:tcPr>
            <w:tcW w:w="5000" w:type="pct"/>
          </w:tcPr>
          <w:p>
            <w:pPr/>
            <w:r>
              <w:rPr>
                <w:rFonts w:ascii="Arial" w:hAnsi="Arial" w:eastAsia="Arial" w:cs="Arial"/>
                <w:color w:val="000000"/>
                <w:sz w:val="18"/>
                <w:szCs w:val="18"/>
              </w:rPr>
              <w:t xml:space="preserve">$ 1,498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$ 2,278</w:t>
            </w:r>
          </w:p>
        </w:tc>
        <w:tc>
          <w:tcPr>
            <w:tcW w:w="5000" w:type="pct"/>
          </w:tcPr>
          <w:p>
            <w:pPr/>
            <w:r>
              <w:rPr>
                <w:rFonts w:ascii="Arial" w:hAnsi="Arial" w:eastAsia="Arial" w:cs="Arial"/>
                <w:color w:val="000000"/>
                <w:sz w:val="18"/>
                <w:szCs w:val="18"/>
              </w:rPr>
              <w:t xml:space="preserve">$ 3,698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b w:val="1"/>
          <w:bCs w:val="1"/>
        </w:rPr>
        <w:t xml:space="preserve">TARIFA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$ 2,038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$ 3,018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$ 1,748</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$ 2,578</w:t>
            </w:r>
          </w:p>
        </w:tc>
        <w:tc>
          <w:tcPr>
            <w:tcW w:w="5000" w:type="pct"/>
          </w:tcPr>
          <w:p>
            <w:pPr/>
            <w:r>
              <w:rPr>
                <w:rFonts w:ascii="Arial" w:hAnsi="Arial" w:eastAsia="Arial" w:cs="Arial"/>
                <w:color w:val="000000"/>
                <w:sz w:val="18"/>
                <w:szCs w:val="18"/>
              </w:rPr>
              <w:t xml:space="preserve">$ 2,918</w:t>
            </w:r>
          </w:p>
        </w:tc>
        <w:tc>
          <w:tcPr>
            <w:tcW w:w="5000" w:type="pct"/>
          </w:tcPr>
          <w:p>
            <w:pPr/>
            <w:r>
              <w:rPr>
                <w:rFonts w:ascii="Arial" w:hAnsi="Arial" w:eastAsia="Arial" w:cs="Arial"/>
                <w:color w:val="000000"/>
                <w:sz w:val="18"/>
                <w:szCs w:val="18"/>
              </w:rPr>
              <w:t xml:space="preserve">$ 4,328</w:t>
            </w:r>
          </w:p>
        </w:tc>
        <w:tc>
          <w:tcPr>
            <w:tcW w:w="5000" w:type="pct"/>
          </w:tcPr>
          <w:p>
            <w:pPr/>
            <w:r>
              <w:rPr>
                <w:rFonts w:ascii="Arial" w:hAnsi="Arial" w:eastAsia="Arial" w:cs="Arial"/>
                <w:color w:val="000000"/>
                <w:sz w:val="18"/>
                <w:szCs w:val="18"/>
              </w:rPr>
              <w:t xml:space="preserve">$ 1,698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$ 2,898</w:t>
            </w:r>
          </w:p>
        </w:tc>
        <w:tc>
          <w:tcPr>
            <w:tcW w:w="5000" w:type="pct"/>
          </w:tcPr>
          <w:p>
            <w:pPr/>
            <w:r>
              <w:rPr>
                <w:rFonts w:ascii="Arial" w:hAnsi="Arial" w:eastAsia="Arial" w:cs="Arial"/>
                <w:color w:val="000000"/>
                <w:sz w:val="18"/>
                <w:szCs w:val="18"/>
              </w:rPr>
              <w:t xml:space="preserve">$ 4,928</w:t>
            </w:r>
          </w:p>
        </w:tc>
        <w:tc>
          <w:tcPr>
            <w:tcW w:w="5000" w:type="pct"/>
          </w:tcPr>
          <w:p>
            <w:pPr/>
            <w:r>
              <w:rPr>
                <w:rFonts w:ascii="Arial" w:hAnsi="Arial" w:eastAsia="Arial" w:cs="Arial"/>
                <w:color w:val="000000"/>
                <w:sz w:val="18"/>
                <w:szCs w:val="18"/>
              </w:rPr>
              <w:t xml:space="preserve">N/A</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$ 469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w:t>
      </w:r>
      <w:r>
        <w:rPr>
          <w:rFonts w:ascii="Arial" w:hAnsi="Arial" w:eastAsia="Arial" w:cs="Arial"/>
          <w:color w:val="000000"/>
          <w:sz w:val="18"/>
          <w:szCs w:val="18"/>
        </w:rPr>
        <w:t xml:space="preserve">TEMPORADA ALTA: Semana santa</w:t>
      </w:r>
      <w:r>
        <w:rPr>
          <w:rFonts w:ascii="Arial" w:hAnsi="Arial" w:eastAsia="Arial" w:cs="Arial"/>
          <w:color w:val="000000"/>
          <w:sz w:val="18"/>
          <w:szCs w:val="18"/>
        </w:rPr>
        <w:t xml:space="preserve"> (11 al 20 de abril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Arena Blanca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Cartagena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Samawi Con desayuno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Grand Sirenis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Luijo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Nativo Con Desayuno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Luijo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Luijo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San Andrés // Cartagena – México con AV.</w:t>
      </w:r>
    </w:p>
    <w:p>
      <w:pPr>
        <w:jc w:val="start"/>
      </w:pPr>
      <w:r>
        <w:rPr>
          <w:rFonts w:ascii="Arial" w:hAnsi="Arial" w:eastAsia="Arial" w:cs="Arial"/>
          <w:sz w:val="18"/>
          <w:szCs w:val="18"/>
        </w:rPr>
        <w:t xml:space="preserve">  ● Boleto de avión San Andrés – Cartagena con Latam.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02 noches de alojamiento en Bogotá en el hotel seleccionado. </w:t>
      </w:r>
    </w:p>
    <w:p>
      <w:pPr>
        <w:jc w:val="start"/>
      </w:pPr>
      <w:r>
        <w:rPr>
          <w:rFonts w:ascii="Arial" w:hAnsi="Arial" w:eastAsia="Arial" w:cs="Arial"/>
          <w:sz w:val="18"/>
          <w:szCs w:val="18"/>
        </w:rPr>
        <w:t xml:space="preserve">  ● 03 noches de alojamiento en San Andrés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70FB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07170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428DA6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d"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2025-04-14T22:16:40-06:00</dcterms:created>
  <dcterms:modified xsi:type="dcterms:W3CDTF">2025-04-14T22:16:40-06:00</dcterms:modified>
</cp:coreProperties>
</file>

<file path=docProps/custom.xml><?xml version="1.0" encoding="utf-8"?>
<Properties xmlns="http://schemas.openxmlformats.org/officeDocument/2006/custom-properties" xmlns:vt="http://schemas.openxmlformats.org/officeDocument/2006/docPropsVTypes"/>
</file>