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Ronda Colombiana</w:t>
      </w:r>
    </w:p>
    <w:p>
      <w:pPr>
        <w:jc w:val="start"/>
      </w:pPr>
      <w:r>
        <w:rPr>
          <w:rFonts w:ascii="Arial" w:hAnsi="Arial" w:eastAsia="Arial" w:cs="Arial"/>
          <w:sz w:val="22.5"/>
          <w:szCs w:val="22.5"/>
          <w:b w:val="1"/>
          <w:bCs w:val="1"/>
        </w:rPr>
        <w:t xml:space="preserve">MT-52229  </w:t>
      </w:r>
      <w:r>
        <w:rPr>
          <w:rFonts w:ascii="Arial" w:hAnsi="Arial" w:eastAsia="Arial" w:cs="Arial"/>
          <w:sz w:val="22.5"/>
          <w:szCs w:val="22.5"/>
        </w:rPr>
        <w:t xml:space="preserve">- Web: </w:t>
      </w:r>
      <w:hyperlink r:id="rId7" w:history="1">
        <w:r>
          <w:rPr>
            <w:color w:val="blue"/>
          </w:rPr>
          <w:t xml:space="preserve">https://viaje.mt/yV660</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$688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Cartagena, 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Bogotá, Colombia.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Visita de la Ciudad con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regular a la Ciudad de Cartagena.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el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CARTAGENA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Sugerimos realizar una visita a Tierra Bomba, Atolón Beach Club para un día de playa.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 con conexión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$ 688</w:t>
            </w:r>
          </w:p>
        </w:tc>
        <w:tc>
          <w:tcPr>
            <w:tcW w:w="5000" w:type="pct"/>
          </w:tcPr>
          <w:p>
            <w:pPr/>
            <w:r>
              <w:rPr>
                <w:rFonts w:ascii="Arial" w:hAnsi="Arial" w:eastAsia="Arial" w:cs="Arial"/>
                <w:color w:val="000000"/>
                <w:sz w:val="18"/>
                <w:szCs w:val="18"/>
              </w:rPr>
              <w:t xml:space="preserve">$ 688</w:t>
            </w:r>
          </w:p>
        </w:tc>
        <w:tc>
          <w:tcPr>
            <w:tcW w:w="5000" w:type="pct"/>
          </w:tcPr>
          <w:p>
            <w:pPr/>
            <w:r>
              <w:rPr>
                <w:rFonts w:ascii="Arial" w:hAnsi="Arial" w:eastAsia="Arial" w:cs="Arial"/>
                <w:color w:val="000000"/>
                <w:sz w:val="18"/>
                <w:szCs w:val="18"/>
              </w:rPr>
              <w:t xml:space="preserve">$ 1,068</w:t>
            </w:r>
          </w:p>
        </w:tc>
        <w:tc>
          <w:tcPr>
            <w:tcW w:w="5000" w:type="pct"/>
          </w:tcPr>
          <w:p>
            <w:pPr/>
            <w:r>
              <w:rPr>
                <w:rFonts w:ascii="Arial" w:hAnsi="Arial" w:eastAsia="Arial" w:cs="Arial"/>
                <w:color w:val="000000"/>
                <w:sz w:val="18"/>
                <w:szCs w:val="18"/>
              </w:rPr>
              <w:t xml:space="preserve">$ 628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$ 768</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$ 628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$ 858</w:t>
            </w:r>
          </w:p>
        </w:tc>
        <w:tc>
          <w:tcPr>
            <w:tcW w:w="5000" w:type="pct"/>
          </w:tcPr>
          <w:p>
            <w:pPr/>
            <w:r>
              <w:rPr>
                <w:rFonts w:ascii="Arial" w:hAnsi="Arial" w:eastAsia="Arial" w:cs="Arial"/>
                <w:color w:val="000000"/>
                <w:sz w:val="18"/>
                <w:szCs w:val="18"/>
              </w:rPr>
              <w:t xml:space="preserve">$ 928</w:t>
            </w:r>
          </w:p>
        </w:tc>
        <w:tc>
          <w:tcPr>
            <w:tcW w:w="5000" w:type="pct"/>
          </w:tcPr>
          <w:p>
            <w:pPr/>
            <w:r>
              <w:rPr>
                <w:rFonts w:ascii="Arial" w:hAnsi="Arial" w:eastAsia="Arial" w:cs="Arial"/>
                <w:color w:val="000000"/>
                <w:sz w:val="18"/>
                <w:szCs w:val="18"/>
              </w:rPr>
              <w:t xml:space="preserve">$ 1,488</w:t>
            </w:r>
          </w:p>
        </w:tc>
        <w:tc>
          <w:tcPr>
            <w:tcW w:w="5000" w:type="pct"/>
          </w:tcPr>
          <w:p>
            <w:pPr/>
            <w:r>
              <w:rPr>
                <w:rFonts w:ascii="Arial" w:hAnsi="Arial" w:eastAsia="Arial" w:cs="Arial"/>
                <w:color w:val="000000"/>
                <w:sz w:val="18"/>
                <w:szCs w:val="18"/>
              </w:rPr>
              <w:t xml:space="preserve">$ 628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$ 1,328</w:t>
            </w:r>
          </w:p>
        </w:tc>
        <w:tc>
          <w:tcPr>
            <w:tcW w:w="5000" w:type="pct"/>
          </w:tcPr>
          <w:p>
            <w:pPr/>
            <w:r>
              <w:rPr>
                <w:rFonts w:ascii="Arial" w:hAnsi="Arial" w:eastAsia="Arial" w:cs="Arial"/>
                <w:color w:val="000000"/>
                <w:sz w:val="18"/>
                <w:szCs w:val="18"/>
              </w:rPr>
              <w:t xml:space="preserve">$ 2,288</w:t>
            </w:r>
          </w:p>
        </w:tc>
        <w:tc>
          <w:tcPr>
            <w:tcW w:w="5000" w:type="pct"/>
          </w:tcPr>
          <w:p>
            <w:pPr/>
            <w:r>
              <w:rPr>
                <w:rFonts w:ascii="Arial" w:hAnsi="Arial" w:eastAsia="Arial" w:cs="Arial"/>
                <w:color w:val="000000"/>
                <w:sz w:val="18"/>
                <w:szCs w:val="18"/>
              </w:rPr>
              <w:t xml:space="preserve">N/A</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$ 778</w:t>
            </w:r>
          </w:p>
        </w:tc>
        <w:tc>
          <w:tcPr>
            <w:tcW w:w="5000" w:type="pct"/>
          </w:tcPr>
          <w:p>
            <w:pPr/>
            <w:r>
              <w:rPr>
                <w:rFonts w:ascii="Arial" w:hAnsi="Arial" w:eastAsia="Arial" w:cs="Arial"/>
                <w:color w:val="000000"/>
                <w:sz w:val="18"/>
                <w:szCs w:val="18"/>
              </w:rPr>
              <w:t xml:space="preserve">$ 798</w:t>
            </w:r>
          </w:p>
        </w:tc>
        <w:tc>
          <w:tcPr>
            <w:tcW w:w="5000" w:type="pct"/>
          </w:tcPr>
          <w:p>
            <w:pPr/>
            <w:r>
              <w:rPr>
                <w:rFonts w:ascii="Arial" w:hAnsi="Arial" w:eastAsia="Arial" w:cs="Arial"/>
                <w:color w:val="000000"/>
                <w:sz w:val="18"/>
                <w:szCs w:val="18"/>
              </w:rPr>
              <w:t xml:space="preserve">$ 1,288</w:t>
            </w:r>
          </w:p>
        </w:tc>
        <w:tc>
          <w:tcPr>
            <w:tcW w:w="5000" w:type="pct"/>
          </w:tcPr>
          <w:p>
            <w:pPr/>
            <w:r>
              <w:rPr>
                <w:rFonts w:ascii="Arial" w:hAnsi="Arial" w:eastAsia="Arial" w:cs="Arial"/>
                <w:color w:val="000000"/>
                <w:sz w:val="18"/>
                <w:szCs w:val="18"/>
              </w:rPr>
              <w:t xml:space="preserve">$ 658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$ 738</w:t>
            </w:r>
          </w:p>
        </w:tc>
        <w:tc>
          <w:tcPr>
            <w:tcW w:w="5000" w:type="pct"/>
          </w:tcPr>
          <w:p>
            <w:pPr/>
            <w:r>
              <w:rPr>
                <w:rFonts w:ascii="Arial" w:hAnsi="Arial" w:eastAsia="Arial" w:cs="Arial"/>
                <w:color w:val="000000"/>
                <w:sz w:val="18"/>
                <w:szCs w:val="18"/>
              </w:rPr>
              <w:t xml:space="preserve">$ 788</w:t>
            </w:r>
          </w:p>
        </w:tc>
        <w:tc>
          <w:tcPr>
            <w:tcW w:w="5000" w:type="pct"/>
          </w:tcPr>
          <w:p>
            <w:pPr/>
            <w:r>
              <w:rPr>
                <w:rFonts w:ascii="Arial" w:hAnsi="Arial" w:eastAsia="Arial" w:cs="Arial"/>
                <w:color w:val="000000"/>
                <w:sz w:val="18"/>
                <w:szCs w:val="18"/>
              </w:rPr>
              <w:t xml:space="preserve">$ 1,318</w:t>
            </w:r>
          </w:p>
        </w:tc>
        <w:tc>
          <w:tcPr>
            <w:tcW w:w="5000" w:type="pct"/>
          </w:tcPr>
          <w:p>
            <w:pPr/>
            <w:r>
              <w:rPr>
                <w:rFonts w:ascii="Arial" w:hAnsi="Arial" w:eastAsia="Arial" w:cs="Arial"/>
                <w:color w:val="000000"/>
                <w:sz w:val="18"/>
                <w:szCs w:val="18"/>
              </w:rPr>
              <w:t xml:space="preserve">$ 658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$ 988</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$ 1,848</w:t>
            </w:r>
          </w:p>
        </w:tc>
        <w:tc>
          <w:tcPr>
            <w:tcW w:w="5000" w:type="pct"/>
          </w:tcPr>
          <w:p>
            <w:pPr/>
            <w:r>
              <w:rPr>
                <w:rFonts w:ascii="Arial" w:hAnsi="Arial" w:eastAsia="Arial" w:cs="Arial"/>
                <w:color w:val="000000"/>
                <w:sz w:val="18"/>
                <w:szCs w:val="18"/>
              </w:rPr>
              <w:t xml:space="preserve">$ 658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$ 1,418</w:t>
            </w:r>
          </w:p>
        </w:tc>
        <w:tc>
          <w:tcPr>
            <w:tcW w:w="5000" w:type="pct"/>
          </w:tcPr>
          <w:p>
            <w:pPr/>
            <w:r>
              <w:rPr>
                <w:rFonts w:ascii="Arial" w:hAnsi="Arial" w:eastAsia="Arial" w:cs="Arial"/>
                <w:color w:val="000000"/>
                <w:sz w:val="18"/>
                <w:szCs w:val="18"/>
              </w:rPr>
              <w:t xml:space="preserve">$ 2,468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w:t>
      </w:r>
      <w:r>
        <w:rPr>
          <w:rFonts w:ascii="Arial" w:hAnsi="Arial" w:eastAsia="Arial" w:cs="Arial"/>
          <w:color w:val="000000"/>
          <w:sz w:val="18"/>
          <w:szCs w:val="18"/>
        </w:rPr>
        <w:t xml:space="preserve">– Precios no aplican en semana santa, pascua, eventos especiales, carnaval, navidad y año nuevo.– Tarifas validas con precompra de 21 dias.</w:t>
      </w:r>
      <w:r>
        <w:rPr>
          <w:rFonts w:ascii="Arial" w:hAnsi="Arial" w:eastAsia="Arial" w:cs="Arial"/>
          <w:color w:val="000000"/>
          <w:sz w:val="18"/>
          <w:szCs w:val="18"/>
        </w:rPr>
        <w:t xml:space="preserve">– Los precios cambian constantemente, así que te sugerimos la verificación de estos, y no utilizar este documento como definitivo.–</w:t>
      </w:r>
      <w:r>
        <w:rPr>
          <w:rFonts w:ascii="Arial" w:hAnsi="Arial" w:eastAsia="Arial" w:cs="Arial"/>
          <w:color w:val="000000"/>
          <w:sz w:val="19.199999999999999289457264239899814128875732421875"/>
          <w:szCs w:val="19.199999999999999289457264239899814128875732421875"/>
        </w:rPr>
        <w:t xml:space="preserve">TEMPORADA ALTA: Semana santa (11 al 20 de abril 2025).</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Express</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Holiday Inn Express</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Double Tree By Hilton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Radisson</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Hyatt</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Charleston Santa Teresa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Bogotá – Cartagena – Bogotá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02 noches de alojamiento en Bogotá en el hotel seleccionado.</w:t>
      </w:r>
    </w:p>
    <w:p>
      <w:pPr>
        <w:jc w:val="start"/>
      </w:pPr>
      <w:r>
        <w:rPr>
          <w:rFonts w:ascii="Arial" w:hAnsi="Arial" w:eastAsia="Arial" w:cs="Arial"/>
          <w:sz w:val="18"/>
          <w:szCs w:val="18"/>
        </w:rPr>
        <w:t xml:space="preserve">  ● 03 noches de alojamiento en Cartagena en el hotel seleccionado.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E3176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0ADF8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E7E2F7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yV660"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2025-09-03T07:39:03-06:00</dcterms:created>
  <dcterms:modified xsi:type="dcterms:W3CDTF">2025-09-03T07:39:03-06:00</dcterms:modified>
</cp:coreProperties>
</file>

<file path=docProps/custom.xml><?xml version="1.0" encoding="utf-8"?>
<Properties xmlns="http://schemas.openxmlformats.org/officeDocument/2006/custom-properties" xmlns:vt="http://schemas.openxmlformats.org/officeDocument/2006/docPropsVTypes"/>
</file>