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Colombia</w:t>
      </w:r>
    </w:p>
    <w:p>
      <w:pPr>
        <w:jc w:val="start"/>
      </w:pPr>
      <w:r>
        <w:rPr>
          <w:rFonts w:ascii="Arial" w:hAnsi="Arial" w:eastAsia="Arial" w:cs="Arial"/>
          <w:sz w:val="22.5"/>
          <w:szCs w:val="22.5"/>
          <w:b w:val="1"/>
          <w:bCs w:val="1"/>
        </w:rPr>
        <w:t xml:space="preserve">MT-52302  </w:t>
      </w:r>
      <w:r>
        <w:rPr>
          <w:rFonts w:ascii="Arial" w:hAnsi="Arial" w:eastAsia="Arial" w:cs="Arial"/>
          <w:sz w:val="22.5"/>
          <w:szCs w:val="22.5"/>
        </w:rPr>
        <w:t xml:space="preserve">- Web: </w:t>
      </w:r>
      <w:hyperlink r:id="rId7" w:history="1">
        <w:r>
          <w:rPr>
            <w:color w:val="blue"/>
          </w:rPr>
          <w:t xml:space="preserve">https://viaje.mt/e5QYu</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$1728 </w:t>
      </w:r>
      <w:r>
        <w:rPr>
          <w:rFonts w:ascii="Arial" w:hAnsi="Arial" w:eastAsia="Arial" w:cs="Arial"/>
          <w:sz w:val="25.5"/>
          <w:szCs w:val="25.5"/>
          <w:vertAlign w:val="superscript"/>
        </w:rPr>
        <w:t xml:space="preserve">USD</w:t>
      </w:r>
      <w:r>
        <w:rPr>
          <w:rFonts w:ascii="Arial" w:hAnsi="Arial" w:eastAsia="Arial" w:cs="Arial"/>
          <w:sz w:val="33"/>
          <w:szCs w:val="33"/>
        </w:rPr>
        <w:t xml:space="preserve"> | DBL + 419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Santa Marta,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Medellín.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MEDELLIN – 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Santa Marta. Llegada, recepción y traslado a su hotel. Al llegar, 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Cartagena. (Duración aproximada de 05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$ 3,338</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$ 4,448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$ 3,978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r>
        <w:rPr>
          <w:rFonts w:ascii="Arial" w:hAnsi="Arial" w:eastAsia="Arial" w:cs="Arial"/>
          <w:color w:val="000000"/>
          <w:sz w:val="19.199999999999999289457264239899814128875732421875"/>
          <w:szCs w:val="19.199999999999999289457264239899814128875732421875"/>
        </w:rPr>
        <w:t xml:space="preserve">Precios NO aplican en Medellín:</w:t>
      </w:r>
      <w:r>
        <w:rPr>
          <w:rFonts w:ascii="Arial" w:hAnsi="Arial" w:eastAsia="Arial" w:cs="Arial"/>
          <w:color w:val="000000"/>
          <w:sz w:val="18"/>
          <w:szCs w:val="18"/>
        </w:rPr>
        <w:t xml:space="preserve">•</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las dos Ruedas (15 al 18 mayo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COLOMBIAMODA (29 al 31 julio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Flores (01 al 10 agosto 2025).</w:t>
      </w:r>
      <w:r>
        <w:rPr>
          <w:rFonts w:ascii="Arial" w:hAnsi="Arial" w:eastAsia="Arial" w:cs="Arial"/>
          <w:color w:val="000000"/>
          <w:sz w:val="19.199999999999999289457264239899814128875732421875"/>
          <w:szCs w:val="19.199999999999999289457264239899814128875732421875"/>
        </w:rPr>
        <w:t xml:space="preserve">– Fechas que no aplican en Santa Marta por los siguientes eventos fijos anuales: </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Cada año, el Parque Tayrona cierra sus puertas al ingreso de visitantes en diferen-tes épocas para preservar la naturaleza y las tradiciones locales. </w:t>
      </w:r>
      <w:r>
        <w:rPr>
          <w:rFonts w:ascii="Arial" w:hAnsi="Arial" w:eastAsia="Arial" w:cs="Arial"/>
          <w:color w:val="000000"/>
          <w:sz w:val="18"/>
          <w:szCs w:val="18"/>
        </w:rPr>
        <w:t xml:space="preserve">Fechas de cierre para el año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KUGKUI SHIKASA. Del 1 de febrero al 15 de febrero del 2025. </w:t>
      </w:r>
      <w:r>
        <w:rPr>
          <w:rFonts w:ascii="Arial" w:hAnsi="Arial" w:eastAsia="Arial" w:cs="Arial"/>
          <w:color w:val="000000"/>
          <w:sz w:val="18"/>
          <w:szCs w:val="18"/>
        </w:rPr>
        <w:t xml:space="preserve">	</w:t>
      </w:r>
      <w:r>
        <w:rPr>
          <w:rFonts w:ascii="Arial" w:hAnsi="Arial" w:eastAsia="Arial" w:cs="Arial"/>
          <w:color w:val="000000"/>
          <w:sz w:val="18"/>
          <w:szCs w:val="18"/>
        </w:rPr>
        <w:t xml:space="preserve">Época de SAKA JUSO. Del 1 de junio al 15 de junio del 2025.</w:t>
      </w:r>
      <w:r>
        <w:rPr>
          <w:rFonts w:ascii="Arial" w:hAnsi="Arial" w:eastAsia="Arial" w:cs="Arial"/>
          <w:color w:val="000000"/>
        </w:rPr>
        <w:t xml:space="preserve"></w:t>
      </w:r>
      <w:r>
        <w:rPr>
          <w:rFonts w:ascii="Arial" w:hAnsi="Arial" w:eastAsia="Arial" w:cs="Arial"/>
          <w:color w:val="000000"/>
        </w:rPr>
        <w:t xml:space="preserve">	</w:t>
      </w:r>
      <w:r>
        <w:rPr>
          <w:rFonts w:ascii="Arial" w:hAnsi="Arial" w:eastAsia="Arial" w:cs="Arial"/>
          <w:color w:val="000000"/>
        </w:rPr>
        <w:t xml:space="preserve">Desde el 9 de octubre hasta el 2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Santa Marta // Cartagena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02 noches de alojamiento en Santa Marta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5DC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DE5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997B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5QY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2025-09-18T14:16:15-06:00</dcterms:created>
  <dcterms:modified xsi:type="dcterms:W3CDTF">2025-09-18T14:16:15-06:00</dcterms:modified>
</cp:coreProperties>
</file>

<file path=docProps/custom.xml><?xml version="1.0" encoding="utf-8"?>
<Properties xmlns="http://schemas.openxmlformats.org/officeDocument/2006/custom-properties" xmlns:vt="http://schemas.openxmlformats.org/officeDocument/2006/docPropsVTypes"/>
</file>