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MT-60780  </w:t>
      </w:r>
      <w:r>
        <w:rPr>
          <w:rFonts w:ascii="Arial" w:hAnsi="Arial" w:eastAsia="Arial" w:cs="Arial"/>
          <w:sz w:val="22.5"/>
          <w:szCs w:val="22.5"/>
        </w:rPr>
        <w:t xml:space="preserve">- Web: </w:t>
      </w:r>
      <w:hyperlink r:id="rId7" w:history="1">
        <w:r>
          <w:rPr>
            <w:color w:val="blue"/>
          </w:rPr>
          <w:t xml:space="preserve">https://viaje.mt/IpCrR</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$31616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+ 8082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14,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Saint Maarten.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Charlotte Amalie, Philipsburg.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diseños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14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Cañaveral, FL está a una hora en coche al este de Orlando, a dos horas de Tampa y a dos horas y media de Jacksonville. Tallahassee está a poco menos de cinco horas al norte. Puerto Cañaveral es la ciudad más cercana a Disney World y los otros parques temáticos de Orlando, y está al lado del Centro Espacial Kennedy de Cabo Cañaveral. Una amplia variedad de actividades están disponibles cerca del puerto, incluyendo varios kilómetros de playas y parques, paseos en bote, pesca, tiendas y varios restaurantes.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15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Jack's, o descubra Splashaway Bay con sus divertidos cubos y cinco toboganes de agua.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17            CHARLOTTE AMALIE- ST. THOMAS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caribeño donde las playas de arena blanca están suavemente bañadas por aguas azules y las montañas están coronadas por verdes coronas de vegetación. Con un estilo cosmopolita, la isla ofrece una gran cantidad de tiendas libres de impuestos, restaurantes de primera categoría y experiencias culturales. En la ciudad portuaria de Charlotte Amalie, se encuentra el famoso 99 Steps, una escalera panorámica construida por los daneses en la década de 1700 que comienza el viaje a un castillo de 1679. Para una dosis de patrimonio, visite el Fuerte Cristiano del siglo XVII, un Monumento Histórico Nacional que alberga un museo, exhibiciones de las Islas Vírgenes, una galería de arte y una colección de muebles de la época danesa. Las excursiones populares incluyen recorridos por la isla, expediciones de buceo y esnórquel y un viaje al Parque de la Bahía de Magens.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18            PHILIPSBURG- ST MAARTEN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hacia esta isla en 1493. Hoy en día, St. Maarten ondea dos banderas, lo que hace que la isla sea en parte francesa y en parte holandesa. Los cruceros suelen hacer escala en el lado holandés de St. Maarten, conocido por su sol durante todo el año, su gran cantidad de centros comerciales y su animada vida nocturna. Los visitantes pueden viajar por el Caribe a bordo de un catamarán, kayak o moto acuática. Las excursiones a la isla incluyen aventuras en vehículos todo terreno, recorridos culinarios y viajes de snorkel o buceo. Los recorridos a pie y en bicicleta exploran la capital histórica, Philipsburg, y los yates y veleros de lujo ofrecen chárteres privados para una mayor relajación.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19-20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 de varios niveles, o sumérjase en el bar en la piscina más grande del mar, Swim  Tonic.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21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INTERIOR</w:t>
            </w:r>
          </w:p>
        </w:tc>
        <w:tc>
          <w:tcPr>
            <w:tcW w:w="5000" w:type="pct"/>
          </w:tcPr>
          <w:p>
            <w:pPr/>
            <w:r>
              <w:rPr>
                <w:rFonts w:ascii="Arial" w:hAnsi="Arial" w:eastAsia="Arial" w:cs="Arial"/>
                <w:color w:val="000000"/>
                <w:sz w:val="18"/>
                <w:szCs w:val="18"/>
              </w:rPr>
              <w:t xml:space="preserve">$ 31,616.00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$ 8,082.00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14/12/2025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 </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720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AF09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C4FB2E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pCrR"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2025-07-11T12:44:26-06:00</dcterms:created>
  <dcterms:modified xsi:type="dcterms:W3CDTF">2025-07-11T12:44:26-06:00</dcterms:modified>
</cp:coreProperties>
</file>

<file path=docProps/custom.xml><?xml version="1.0" encoding="utf-8"?>
<Properties xmlns="http://schemas.openxmlformats.org/officeDocument/2006/custom-properties" xmlns:vt="http://schemas.openxmlformats.org/officeDocument/2006/docPropsVTypes"/>
</file>