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>
          <w:rFonts w:ascii="Arial" w:hAnsi="Arial" w:eastAsia="Arial" w:cs="Arial"/>
          <w:color w:val="2ca1d7"/>
          <w:sz w:val="45"/>
          <w:szCs w:val="45"/>
          <w:b w:val="1"/>
          <w:bCs w:val="1"/>
        </w:rPr>
        <w:t xml:space="preserve">I </w:t>
      </w:r>
      <w:r>
        <w:rPr>
          <w:rFonts w:ascii="Arial" w:hAnsi="Arial" w:eastAsia="Arial" w:cs="Arial"/>
          <w:sz w:val="40.5"/>
          <w:szCs w:val="40.5"/>
          <w:b w:val="1"/>
          <w:bCs w:val="1"/>
        </w:rPr>
        <w:t xml:space="preserve">MADRID OPEN TENIS 2025</w:t>
      </w:r>
    </w:p>
    <w:p>
      <w:pPr>
        <w:jc w:val="start"/>
      </w:pPr>
      <w:r>
        <w:rPr>
          <w:rFonts w:ascii="Arial" w:hAnsi="Arial" w:eastAsia="Arial" w:cs="Arial"/>
          <w:sz w:val="22.5"/>
          <w:szCs w:val="22.5"/>
          <w:b w:val="1"/>
          <w:bCs w:val="1"/>
        </w:rPr>
        <w:t xml:space="preserve">MT-63270  </w:t>
      </w:r>
      <w:r>
        <w:rPr>
          <w:rFonts w:ascii="Arial" w:hAnsi="Arial" w:eastAsia="Arial" w:cs="Arial"/>
          <w:sz w:val="22.5"/>
          <w:szCs w:val="22.5"/>
        </w:rPr>
        <w:t xml:space="preserve">- Web: </w:t>
      </w:r>
      <w:hyperlink r:id="rId7" w:history="1">
        <w:r>
          <w:rPr>
            <w:color w:val="blue"/>
          </w:rPr>
          <w:t xml:space="preserve">https://viaje.mt/kptew</w:t>
        </w:r>
      </w:hyperlink>
    </w:p>
    <w:p>
      <w:pPr>
        <w:jc w:val="start"/>
      </w:pPr>
      <w:r>
        <w:rPr>
          <w:rFonts w:ascii="Arial" w:hAnsi="Arial" w:eastAsia="Arial" w:cs="Arial"/>
          <w:sz w:val="22.5"/>
          <w:szCs w:val="22.5"/>
          <w:b w:val="1"/>
          <w:bCs w:val="1"/>
        </w:rPr>
        <w:t xml:space="preserve">6 días y 5 noches</w:t>
      </w:r>
    </w:p>
    <w:p>
      <w:pPr>
        <w:jc w:val="start"/>
      </w:pPr>
    </w:p>
    <w:p>
      <w:pPr>
        <w:jc w:val="center"/>
        <w:spacing w:before="450"/>
      </w:pPr>
      <w:r>
        <w:rPr>
          <w:rFonts w:ascii="Arial" w:hAnsi="Arial" w:eastAsia="Arial" w:cs="Arial"/>
          <w:sz w:val="33"/>
          <w:szCs w:val="33"/>
        </w:rPr>
        <w:t xml:space="preserve">Desde $1329 </w:t>
      </w:r>
      <w:r>
        <w:rPr>
          <w:rFonts w:ascii="Arial" w:hAnsi="Arial" w:eastAsia="Arial" w:cs="Arial"/>
          <w:sz w:val="25.5"/>
          <w:szCs w:val="25.5"/>
          <w:vertAlign w:val="superscript"/>
        </w:rPr>
        <w:t xml:space="preserve">USD</w:t>
      </w:r>
      <w:r>
        <w:rPr>
          <w:rFonts w:ascii="Arial" w:hAnsi="Arial" w:eastAsia="Arial" w:cs="Arial"/>
          <w:sz w:val="33"/>
          <w:szCs w:val="33"/>
        </w:rPr>
        <w:t xml:space="preserve"> | DBL + 0 IMP</w:t>
      </w:r>
    </w:p>
    <w:p>
      <w:pPr/>
      <w:r>
        <w:pict>
          <v:shape type="#_x0000_t75" stroked="f" style="width:600px; height:336.914062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jc w:val="end"/>
      </w:pPr>
      <w:r>
        <w:rPr>
          <w:rFonts w:ascii="Arial" w:hAnsi="Arial" w:eastAsia="Arial" w:cs="Arial"/>
          <w:sz w:val="22.5"/>
          <w:szCs w:val="22.5"/>
          <w:b w:val="1"/>
          <w:bCs w:val="1"/>
        </w:rPr>
        <w:t xml:space="preserve">Solo Terrestre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SALIDAS                    </w:t>
      </w:r>
    </w:p>
    <w:p>
      <w:pPr>
        <w:jc w:val="start"/>
      </w:pPr>
    </w:p>
    <w:p>
      <w:pPr>
        <w:jc w:val="start"/>
      </w:pPr>
      <w:r>
        <w:rPr>
          <w:rFonts w:ascii="Arial" w:hAnsi="Arial" w:eastAsia="Arial" w:cs="Arial"/>
          <w:sz w:val="22.5"/>
          <w:szCs w:val="22.5"/>
        </w:rPr>
        <w:t xml:space="preserve">DEL 01 AL 06 DE MAYO DEL 2025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PAISES</w:t>
      </w:r>
    </w:p>
    <w:p>
      <w:pPr>
        <w:jc w:val="both"/>
        <w:spacing w:line="432" w:lineRule="auto"/>
      </w:pPr>
      <w:r>
        <w:rPr>
          <w:rFonts w:ascii="Arial" w:hAnsi="Arial" w:eastAsia="Arial" w:cs="Arial"/>
          <w:sz w:val="18"/>
          <w:szCs w:val="18"/>
        </w:rPr>
        <w:t xml:space="preserve">España.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CIUDADES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Madrid.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ITINERARIO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01. Madrid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Llegada a Madrid con Transfer al hotel Mercader o similar. Alojamiento.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02. Madrid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Día libre. Alojamiento.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03. Madrid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Día de partido Boletos Women#39;s Final and Men#39;s Doubles Final. Alojamiento.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04. Madrid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Día de partido Boletos Men#39;s Final and Women#39;s Doubles Final. Alojamiento.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05. Madrid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Día libre. Alojamiento.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06. Madrid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A la hora indicada se realizará check out en hotel. Traslado al Aeropuerto para tomar vuelo de regreso a casa.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TARIFAS</w:t>
      </w:r>
    </w:p>
    <w:tbl>
      <w:tblGrid>
        <w:gridCol w:w="5000" w:type="dxa"/>
        <w:gridCol w:w="5000" w:type="dxa"/>
        <w:gridCol w:w="5000" w:type="dxa"/>
      </w:tblGrid>
      <w:tblPr>
        <w:tblW w:w="0" w:type="auto"/>
        <w:tblLayout w:type="autofit"/>
        <w:bidiVisual w:val="0"/>
      </w:tblP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CATEGORíA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HOTEL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DBL</w:t>
            </w:r>
          </w:p>
        </w:tc>
      </w:t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*4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Hotel Mercader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1,329usd</w:t>
            </w:r>
          </w:p>
        </w:tc>
      </w:tr>
    </w:tbl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HOTELES</w:t>
      </w:r>
    </w:p>
    <w:p>
      <w:pPr>
        <w:jc w:val="start"/>
      </w:pPr>
      <w:r>
        <w:rPr>
          <w:rFonts w:ascii="Arial" w:hAnsi="Arial" w:eastAsia="Arial" w:cs="Arial"/>
          <w:sz w:val="22.5"/>
          <w:szCs w:val="22.5"/>
          <w:b w:val="1"/>
          <w:bCs w:val="1"/>
        </w:rPr>
        <w:t xml:space="preserve">Precios vigentes hasta el 25/04/2025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EL VIAJE INCLUYE</w:t>
      </w:r>
    </w:p>
    <w:p>
      <w:pPr>
        <w:jc w:val="start"/>
      </w:pP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Traslados terrestres de llegada y salida.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05 noches de alojamiento.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2 entradas: 03 de mayo Women's Final and Men's Doubles Final upper tier, 04 de mayo Boletos Men's Final and Women's Doubles Final upper tier.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Atención personal en destino.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EL VIAJE NO INCLUYE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Vuelos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NOTAS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Los precios están sujetos a disponibilidad</w:t>
      </w:r>
    </w:p>
    <w:p>
      <w:pPr>
        <w:jc w:val="start"/>
      </w:pPr>
    </w:p>
    <w:p>
      <w:pPr>
        <w:jc w:val="both"/>
      </w:pPr>
    </w:p>
    <w:p>
      <w:pPr>
        <w:jc w:val="both"/>
      </w:pPr>
      <w:r>
        <w:rPr>
          <w:rFonts w:ascii="Arial" w:hAnsi="Arial" w:eastAsia="Arial" w:cs="Arial"/>
          <w:sz w:val="24"/>
          <w:szCs w:val="24"/>
          <w:b w:val="1"/>
          <w:bCs w:val="1"/>
        </w:rPr>
        <w:t xml:space="preserve">POLÍTICAS DE CONTRATACIÓN Y CANCELACIÓN</w:t>
      </w:r>
    </w:p>
    <w:p>
      <w:pPr>
        <w:jc w:val="both"/>
      </w:pPr>
      <w:hyperlink r:id="rId9" w:history="1">
        <w:r>
          <w:rPr/>
          <w:t xml:space="preserve">https://cdn.mtmedia25.com/contratos/02-bloqueos-mega-travel-operadora.pdf</w:t>
        </w:r>
      </w:hyperlink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Precios indicados en USD, pagaderos en Moneda Nacional al tipo de cambio del día.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Los precios indicados en este sitio web, son de carácter informativo y deben ser confirmados para realizar su reservación ya que están sujetos a modificaciones sin previo aviso.</w:t>
      </w:r>
    </w:p>
    <w:sectPr>
      <w:headerReference w:type="default" r:id="rId10"/>
      <w:footerReference w:type="default" r:id="rId11"/>
      <w:pgSz w:orient="portrait" w:w="11905.511811023621703498065471649169921875" w:h="16837.795275590549863409250974655151367187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1D3A5B5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88271E8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viaje.mt/kptew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s://cdn.mtmedia25.com/contratos/02-bloqueos-mega-travel-operadora.pdf" TargetMode="External"/><Relationship Id="rId10" Type="http://schemas.openxmlformats.org/officeDocument/2006/relationships/header" Target="header1.xml"/><Relationship Id="rId11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2025-01-05T09:00:14-06:00</dcterms:created>
  <dcterms:modified xsi:type="dcterms:W3CDTF">2025-01-05T09:00:14-06:00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