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ATLETICO DE MADRID VS REAL MADRID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MT-63337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https://viaje.mt/RPPu1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5 días y 4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$1199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+ 0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Solo Terrestre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DEL 26 AL 30 DE SEPTIEMBRE DEL 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España.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Madrid.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 Madrid con transfer al Axel Hotel Madrid o similar.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de partido boleto de entrada Atlético de Madrid vs Real Madrid.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05.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 la hora indicada se realizará check out en hotel. Traslado al Aeropuerto para tomar vuelo de regreso a casa.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CATEGORÍA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DBL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*4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Axel Hotel Madrid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1199usd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01/09/2025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terrestres de llegada y salida.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04 noches de alojamiento en hotel 4 estrellas o similar.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Entrada al evento según localidad seleccionada Zona 4.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Atención personal en destino.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Los precios están sujetos a disponibilidad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9" w:history="1">
        <w:r>
          <w:rPr/>
          <w:t xml:space="preserve">https://cdn.mtmedia25.com/contratos/02-bloqueos-mega-travel-operadora.pdf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0"/>
      <w:footerReference w:type="default" r:id="rId11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BF41A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24A7B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RPPu1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cdn.mtmedia25.com/contratos/02-bloqueos-mega-travel-operadora.pdf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2025-08-02T00:40:56-06:00</dcterms:created>
  <dcterms:modified xsi:type="dcterms:W3CDTF">2025-08-02T00:40:56-06:00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