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THE PLAYER CHAMPIONSHIP 2026</w:t>
      </w:r>
    </w:p>
    <w:p>
      <w:pPr>
        <w:jc w:val="start"/>
      </w:pPr>
      <w:r>
        <w:rPr>
          <w:rFonts w:ascii="Arial" w:hAnsi="Arial" w:eastAsia="Arial" w:cs="Arial"/>
          <w:sz w:val="22.5"/>
          <w:szCs w:val="22.5"/>
          <w:b w:val="1"/>
          <w:bCs w:val="1"/>
        </w:rPr>
        <w:t xml:space="preserve">MT-63347  </w:t>
      </w:r>
      <w:r>
        <w:rPr>
          <w:rFonts w:ascii="Arial" w:hAnsi="Arial" w:eastAsia="Arial" w:cs="Arial"/>
          <w:sz w:val="22.5"/>
          <w:szCs w:val="22.5"/>
        </w:rPr>
        <w:t xml:space="preserve">- Web: </w:t>
      </w:r>
      <w:hyperlink r:id="rId7" w:history="1">
        <w:r>
          <w:rPr>
            <w:color w:val="blue"/>
          </w:rPr>
          <w:t xml:space="preserve">https://viaje.mt/CBfmX</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$2499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11 AL 16 DE MARZO DEL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Florida.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St. Augustine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St. Augustine al hotel Hyatt Place Vilano Beach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St. Augustine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St. Augustine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entrada Grounds Pass para el torneo The Players Championship. Traslados de ida y vuelta al torneo.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St. Augustine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entrada Grounds Pass para el torneo The Players Championship. Traslados de ida y vuelta al torneo.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St. Augustine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entrada Grounds Pass para el torneo The Players Championship. Traslados de ida y vuelta al torneo.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w:t>
      </w:r>
    </w:p>
    <w:p>
      <w:pPr>
        <w:jc w:val="both"/>
      </w:pPr>
      <w:r>
        <w:rPr>
          <w:rFonts w:ascii="Arial" w:hAnsi="Arial" w:eastAsia="Arial" w:cs="Arial"/>
          <w:sz w:val="18"/>
          <w:szCs w:val="18"/>
          <w:b w:val="1"/>
          <w:bCs w:val="1"/>
        </w:rPr>
        <w:t xml:space="preserve">St. Augustine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SGL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Hyatt Place Vilano Beach</w:t>
            </w:r>
          </w:p>
        </w:tc>
        <w:tc>
          <w:tcPr>
            <w:tcW w:w="5000" w:type="pct"/>
          </w:tcPr>
          <w:p>
            <w:pPr/>
            <w:r>
              <w:rPr>
                <w:rFonts w:ascii="Arial" w:hAnsi="Arial" w:eastAsia="Arial" w:cs="Arial"/>
                <w:color w:val="000000"/>
                <w:sz w:val="18"/>
                <w:szCs w:val="18"/>
              </w:rPr>
              <w:t xml:space="preserve">2,499usd</w:t>
            </w:r>
          </w:p>
        </w:tc>
        <w:tc>
          <w:tcPr>
            <w:tcW w:w="5000" w:type="pct"/>
          </w:tcPr>
          <w:p>
            <w:pPr/>
            <w:r>
              <w:rPr>
                <w:rFonts w:ascii="Arial" w:hAnsi="Arial" w:eastAsia="Arial" w:cs="Arial"/>
                <w:color w:val="000000"/>
                <w:sz w:val="18"/>
                <w:szCs w:val="18"/>
              </w:rPr>
              <w:t xml:space="preserve">2,099usd</w:t>
            </w:r>
          </w:p>
        </w:tc>
        <w:tc>
          <w:tcPr>
            <w:tcW w:w="5000" w:type="pct"/>
          </w:tcPr>
          <w:p>
            <w:pPr/>
            <w:r>
              <w:rPr>
                <w:rFonts w:ascii="Arial" w:hAnsi="Arial" w:eastAsia="Arial" w:cs="Arial"/>
                <w:color w:val="000000"/>
                <w:sz w:val="18"/>
                <w:szCs w:val="18"/>
              </w:rPr>
              <w:t xml:space="preserve">3,595usd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5 noches de alojamiento en el Hyatt Place Vilano Beach.</w:t>
      </w:r>
    </w:p>
    <w:p>
      <w:pPr>
        <w:jc w:val="start"/>
      </w:pPr>
      <w:r>
        <w:rPr>
          <w:rFonts w:ascii="Arial" w:hAnsi="Arial" w:eastAsia="Arial" w:cs="Arial"/>
          <w:sz w:val="18"/>
          <w:szCs w:val="18"/>
        </w:rPr>
        <w:t xml:space="preserve">  ● Entradas Grounds Pass para el torneo The Players Championship para el jueves, viernes, sábado y domingo.</w:t>
      </w:r>
    </w:p>
    <w:p>
      <w:pPr>
        <w:jc w:val="start"/>
      </w:pPr>
      <w:r>
        <w:rPr>
          <w:rFonts w:ascii="Arial" w:hAnsi="Arial" w:eastAsia="Arial" w:cs="Arial"/>
          <w:sz w:val="18"/>
          <w:szCs w:val="18"/>
        </w:rPr>
        <w:t xml:space="preserve">  ● Traslados de ida y vuelta al torneo todos los días.</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6C2D6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85BA2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72C43F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BfmX"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2025-08-14T22:06:49-06:00</dcterms:created>
  <dcterms:modified xsi:type="dcterms:W3CDTF">2025-08-14T22:06:49-06:00</dcterms:modified>
</cp:coreProperties>
</file>

<file path=docProps/custom.xml><?xml version="1.0" encoding="utf-8"?>
<Properties xmlns="http://schemas.openxmlformats.org/officeDocument/2006/custom-properties" xmlns:vt="http://schemas.openxmlformats.org/officeDocument/2006/docPropsVTypes"/>
</file>